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ascii="Times New Roman" w:hAnsi="Times New Roman" w:eastAsia="微软雅黑 Light"/>
          <w:sz w:val="36"/>
          <w:szCs w:val="48"/>
          <w:highlight w:val="none"/>
        </w:rPr>
      </w:pPr>
      <w:bookmarkStart w:id="109" w:name="_GoBack"/>
    </w:p>
    <w:p>
      <w:pPr>
        <w:widowControl/>
        <w:spacing w:line="520" w:lineRule="exact"/>
        <w:jc w:val="center"/>
        <w:rPr>
          <w:rFonts w:ascii="Times New Roman" w:hAnsi="Times New Roman" w:eastAsia="微软雅黑"/>
          <w:bCs/>
          <w:spacing w:val="20"/>
          <w:sz w:val="36"/>
          <w:szCs w:val="36"/>
          <w:highlight w:val="none"/>
        </w:rPr>
      </w:pPr>
      <w:r>
        <w:rPr>
          <w:rFonts w:ascii="Times New Roman" w:hAnsi="Times New Roman" w:eastAsia="微软雅黑"/>
          <w:bCs/>
          <w:spacing w:val="20"/>
          <w:sz w:val="36"/>
          <w:szCs w:val="36"/>
          <w:highlight w:val="none"/>
        </w:rPr>
        <w:t>Prevention, Preparedness and Response to Emerging Infectious Diseases Project</w:t>
      </w:r>
    </w:p>
    <w:p>
      <w:pPr>
        <w:pStyle w:val="2"/>
        <w:rPr>
          <w:rFonts w:ascii="Times New Roman" w:hAnsi="Times New Roman"/>
          <w:highlight w:val="none"/>
        </w:rPr>
      </w:pPr>
    </w:p>
    <w:p>
      <w:pPr>
        <w:widowControl/>
        <w:spacing w:line="360" w:lineRule="auto"/>
        <w:jc w:val="center"/>
        <w:rPr>
          <w:rFonts w:ascii="Times New Roman" w:hAnsi="Times New Roman" w:eastAsia="方正小标宋简体"/>
          <w:bCs/>
          <w:spacing w:val="20"/>
          <w:sz w:val="44"/>
          <w:szCs w:val="44"/>
          <w:highlight w:val="none"/>
        </w:rPr>
      </w:pPr>
      <w:bookmarkStart w:id="0" w:name="_Toc467020589"/>
      <w:bookmarkStart w:id="1" w:name="_Toc466542043"/>
      <w:bookmarkStart w:id="2" w:name="_Toc466945213"/>
      <w:bookmarkStart w:id="3" w:name="_Toc466372360"/>
      <w:r>
        <w:rPr>
          <w:rFonts w:ascii="Times New Roman" w:hAnsi="Times New Roman" w:eastAsia="方正小标宋简体"/>
          <w:bCs/>
          <w:spacing w:val="20"/>
          <w:sz w:val="52"/>
          <w:szCs w:val="52"/>
          <w:highlight w:val="none"/>
        </w:rPr>
        <w:t>世界银行“预防、准备与应对新发传染病项目”农业农村部子项目</w:t>
      </w:r>
    </w:p>
    <w:p>
      <w:pPr>
        <w:widowControl/>
        <w:spacing w:line="520" w:lineRule="exact"/>
        <w:jc w:val="center"/>
        <w:rPr>
          <w:rFonts w:ascii="Times New Roman" w:hAnsi="Times New Roman" w:eastAsia="微软雅黑"/>
          <w:b/>
          <w:spacing w:val="20"/>
          <w:sz w:val="44"/>
          <w:szCs w:val="44"/>
          <w:highlight w:val="none"/>
        </w:rPr>
      </w:pPr>
    </w:p>
    <w:p>
      <w:pPr>
        <w:widowControl/>
        <w:spacing w:line="520" w:lineRule="exact"/>
        <w:jc w:val="center"/>
        <w:rPr>
          <w:rFonts w:ascii="Times New Roman" w:hAnsi="Times New Roman" w:eastAsia="微软雅黑"/>
          <w:bCs/>
          <w:spacing w:val="20"/>
          <w:sz w:val="36"/>
          <w:szCs w:val="36"/>
          <w:highlight w:val="none"/>
        </w:rPr>
      </w:pPr>
      <w:r>
        <w:rPr>
          <w:rFonts w:ascii="Times New Roman" w:hAnsi="Times New Roman" w:eastAsia="微软雅黑"/>
          <w:bCs/>
          <w:spacing w:val="20"/>
          <w:sz w:val="36"/>
          <w:szCs w:val="36"/>
          <w:highlight w:val="none"/>
        </w:rPr>
        <w:t xml:space="preserve">Environmental And Social </w:t>
      </w:r>
    </w:p>
    <w:p>
      <w:pPr>
        <w:widowControl/>
        <w:spacing w:line="520" w:lineRule="exact"/>
        <w:jc w:val="center"/>
        <w:rPr>
          <w:rFonts w:ascii="Times New Roman" w:hAnsi="Times New Roman" w:eastAsia="微软雅黑"/>
          <w:bCs/>
          <w:spacing w:val="20"/>
          <w:sz w:val="36"/>
          <w:szCs w:val="36"/>
          <w:highlight w:val="none"/>
        </w:rPr>
      </w:pPr>
      <w:r>
        <w:rPr>
          <w:rFonts w:ascii="Times New Roman" w:hAnsi="Times New Roman" w:eastAsia="微软雅黑"/>
          <w:bCs/>
          <w:spacing w:val="20"/>
          <w:sz w:val="36"/>
          <w:szCs w:val="36"/>
          <w:highlight w:val="none"/>
        </w:rPr>
        <w:t>Management Framework</w:t>
      </w:r>
    </w:p>
    <w:p>
      <w:pPr>
        <w:widowControl/>
        <w:spacing w:line="520" w:lineRule="exact"/>
        <w:jc w:val="center"/>
        <w:rPr>
          <w:rFonts w:ascii="Times New Roman" w:hAnsi="Times New Roman" w:eastAsia="微软雅黑"/>
          <w:b/>
          <w:spacing w:val="20"/>
          <w:sz w:val="44"/>
          <w:szCs w:val="44"/>
          <w:highlight w:val="none"/>
        </w:rPr>
      </w:pPr>
    </w:p>
    <w:p>
      <w:pPr>
        <w:widowControl/>
        <w:spacing w:line="520" w:lineRule="exact"/>
        <w:jc w:val="center"/>
        <w:rPr>
          <w:rFonts w:ascii="Times New Roman" w:hAnsi="Times New Roman" w:eastAsia="方正小标宋简体"/>
          <w:spacing w:val="20"/>
          <w:sz w:val="44"/>
          <w:szCs w:val="44"/>
          <w:highlight w:val="none"/>
        </w:rPr>
      </w:pPr>
      <w:r>
        <w:rPr>
          <w:rFonts w:ascii="Times New Roman" w:hAnsi="Times New Roman" w:eastAsia="方正小标宋简体"/>
          <w:spacing w:val="20"/>
          <w:sz w:val="52"/>
          <w:szCs w:val="52"/>
          <w:highlight w:val="none"/>
        </w:rPr>
        <w:t>环境与社会管理框架</w:t>
      </w:r>
      <w:bookmarkEnd w:id="0"/>
      <w:bookmarkEnd w:id="1"/>
      <w:bookmarkEnd w:id="2"/>
      <w:bookmarkEnd w:id="3"/>
    </w:p>
    <w:p>
      <w:pPr>
        <w:widowControl/>
        <w:spacing w:line="520" w:lineRule="exact"/>
        <w:jc w:val="center"/>
        <w:rPr>
          <w:rFonts w:ascii="Times New Roman" w:hAnsi="Times New Roman" w:eastAsia="微软雅黑 Light"/>
          <w:b/>
          <w:sz w:val="44"/>
          <w:szCs w:val="44"/>
          <w:highlight w:val="none"/>
        </w:rPr>
      </w:pPr>
    </w:p>
    <w:p>
      <w:pPr>
        <w:widowControl/>
        <w:spacing w:line="520" w:lineRule="exact"/>
        <w:jc w:val="center"/>
        <w:rPr>
          <w:rFonts w:ascii="Times New Roman" w:hAnsi="Times New Roman" w:eastAsia="微软雅黑 Light"/>
          <w:b/>
          <w:sz w:val="36"/>
          <w:szCs w:val="36"/>
          <w:highlight w:val="none"/>
        </w:rPr>
      </w:pPr>
    </w:p>
    <w:p>
      <w:pPr>
        <w:widowControl/>
        <w:spacing w:line="520" w:lineRule="exact"/>
        <w:jc w:val="center"/>
        <w:rPr>
          <w:rFonts w:ascii="Times New Roman" w:hAnsi="Times New Roman" w:eastAsia="微软雅黑 Light"/>
          <w:b/>
          <w:sz w:val="36"/>
          <w:szCs w:val="36"/>
          <w:highlight w:val="none"/>
        </w:rPr>
      </w:pPr>
    </w:p>
    <w:p>
      <w:pPr>
        <w:widowControl/>
        <w:spacing w:line="520" w:lineRule="exact"/>
        <w:jc w:val="center"/>
        <w:rPr>
          <w:rFonts w:ascii="Times New Roman" w:hAnsi="Times New Roman" w:eastAsia="微软雅黑 Light"/>
          <w:b/>
          <w:sz w:val="36"/>
          <w:szCs w:val="36"/>
          <w:highlight w:val="none"/>
        </w:rPr>
      </w:pPr>
    </w:p>
    <w:p>
      <w:pPr>
        <w:widowControl/>
        <w:spacing w:line="520" w:lineRule="exact"/>
        <w:jc w:val="center"/>
        <w:rPr>
          <w:rFonts w:ascii="Times New Roman" w:hAnsi="Times New Roman" w:eastAsia="微软雅黑 Light"/>
          <w:b/>
          <w:sz w:val="36"/>
          <w:szCs w:val="36"/>
          <w:highlight w:val="none"/>
        </w:rPr>
      </w:pPr>
    </w:p>
    <w:p>
      <w:pPr>
        <w:pStyle w:val="2"/>
        <w:rPr>
          <w:rFonts w:ascii="Times New Roman" w:hAnsi="Times New Roman"/>
          <w:highlight w:val="none"/>
        </w:rPr>
      </w:pPr>
    </w:p>
    <w:p>
      <w:pPr>
        <w:widowControl/>
        <w:spacing w:line="520" w:lineRule="exact"/>
        <w:jc w:val="center"/>
        <w:rPr>
          <w:rFonts w:ascii="Times New Roman" w:hAnsi="Times New Roman" w:eastAsia="宋体"/>
          <w:b/>
          <w:bCs/>
          <w:sz w:val="28"/>
          <w:szCs w:val="28"/>
          <w:highlight w:val="none"/>
        </w:rPr>
      </w:pPr>
      <w:r>
        <w:rPr>
          <w:rFonts w:ascii="Times New Roman" w:hAnsi="Times New Roman" w:eastAsia="宋体"/>
          <w:b/>
          <w:bCs/>
          <w:sz w:val="28"/>
          <w:szCs w:val="28"/>
          <w:highlight w:val="none"/>
        </w:rPr>
        <w:t>中国动物卫生与流行病学中心</w:t>
      </w:r>
    </w:p>
    <w:p>
      <w:pPr>
        <w:widowControl/>
        <w:spacing w:line="520" w:lineRule="exact"/>
        <w:jc w:val="center"/>
        <w:rPr>
          <w:rFonts w:ascii="Times New Roman" w:hAnsi="Times New Roman" w:eastAsia="微软雅黑 Light"/>
          <w:b/>
          <w:sz w:val="36"/>
          <w:szCs w:val="36"/>
          <w:highlight w:val="none"/>
        </w:rPr>
      </w:pPr>
      <w:r>
        <w:rPr>
          <w:rFonts w:ascii="Times New Roman" w:hAnsi="Times New Roman" w:eastAsia="宋体"/>
          <w:b/>
          <w:bCs/>
          <w:sz w:val="28"/>
          <w:szCs w:val="28"/>
          <w:highlight w:val="none"/>
        </w:rPr>
        <w:t>二〇二</w:t>
      </w:r>
      <w:r>
        <w:rPr>
          <w:rFonts w:hint="eastAsia" w:ascii="Times New Roman" w:hAnsi="Times New Roman" w:eastAsia="宋体"/>
          <w:b/>
          <w:bCs/>
          <w:sz w:val="28"/>
          <w:szCs w:val="28"/>
          <w:highlight w:val="none"/>
        </w:rPr>
        <w:t>三</w:t>
      </w:r>
      <w:r>
        <w:rPr>
          <w:rFonts w:ascii="Times New Roman" w:hAnsi="Times New Roman" w:eastAsia="宋体"/>
          <w:b/>
          <w:bCs/>
          <w:sz w:val="28"/>
          <w:szCs w:val="28"/>
          <w:highlight w:val="none"/>
        </w:rPr>
        <w:t>年</w:t>
      </w:r>
      <w:r>
        <w:rPr>
          <w:rFonts w:hint="eastAsia" w:ascii="Times New Roman" w:hAnsi="Times New Roman" w:eastAsia="宋体"/>
          <w:b/>
          <w:bCs/>
          <w:sz w:val="28"/>
          <w:szCs w:val="28"/>
          <w:highlight w:val="none"/>
        </w:rPr>
        <w:t>五</w:t>
      </w:r>
      <w:r>
        <w:rPr>
          <w:rFonts w:ascii="Times New Roman" w:hAnsi="Times New Roman" w:eastAsia="宋体"/>
          <w:b/>
          <w:bCs/>
          <w:sz w:val="28"/>
          <w:szCs w:val="28"/>
          <w:highlight w:val="none"/>
        </w:rPr>
        <w:t>月</w:t>
      </w:r>
    </w:p>
    <w:p>
      <w:pPr>
        <w:snapToGrid w:val="0"/>
        <w:spacing w:line="520" w:lineRule="exact"/>
        <w:jc w:val="center"/>
        <w:rPr>
          <w:rFonts w:ascii="Times New Roman" w:hAnsi="Times New Roman" w:eastAsia="微软雅黑 Light"/>
          <w:sz w:val="24"/>
          <w:szCs w:val="24"/>
          <w:highlight w:val="none"/>
        </w:rPr>
        <w:sectPr>
          <w:footerReference r:id="rId7" w:type="first"/>
          <w:footerReference r:id="rId5" w:type="default"/>
          <w:footerReference r:id="rId6" w:type="even"/>
          <w:pgSz w:w="11900" w:h="16840"/>
          <w:pgMar w:top="1440" w:right="1800" w:bottom="1440" w:left="1800" w:header="851" w:footer="992" w:gutter="0"/>
          <w:cols w:space="720" w:num="1"/>
          <w:docGrid w:type="lines" w:linePitch="312" w:charSpace="0"/>
        </w:sectPr>
      </w:pPr>
    </w:p>
    <w:p>
      <w:pPr>
        <w:snapToGrid w:val="0"/>
        <w:spacing w:before="100" w:beforeAutospacing="1" w:after="100" w:afterAutospacing="1" w:line="360" w:lineRule="auto"/>
        <w:jc w:val="center"/>
        <w:rPr>
          <w:rFonts w:ascii="Times New Roman" w:hAnsi="Times New Roman" w:eastAsia="黑体"/>
          <w:b/>
          <w:bCs/>
          <w:sz w:val="44"/>
          <w:szCs w:val="44"/>
          <w:highlight w:val="none"/>
        </w:rPr>
      </w:pPr>
      <w:r>
        <w:rPr>
          <w:rFonts w:ascii="Times New Roman" w:hAnsi="黑体" w:eastAsia="黑体"/>
          <w:b/>
          <w:bCs/>
          <w:sz w:val="44"/>
          <w:szCs w:val="44"/>
          <w:highlight w:val="none"/>
        </w:rPr>
        <w:t>目</w:t>
      </w:r>
      <w:r>
        <w:rPr>
          <w:rFonts w:ascii="Times New Roman" w:hAnsi="Times New Roman" w:eastAsia="黑体"/>
          <w:b/>
          <w:bCs/>
          <w:sz w:val="44"/>
          <w:szCs w:val="44"/>
          <w:highlight w:val="none"/>
        </w:rPr>
        <w:t xml:space="preserve">  </w:t>
      </w:r>
      <w:r>
        <w:rPr>
          <w:rFonts w:ascii="Times New Roman" w:hAnsi="黑体" w:eastAsia="黑体"/>
          <w:b/>
          <w:bCs/>
          <w:sz w:val="44"/>
          <w:szCs w:val="44"/>
          <w:highlight w:val="none"/>
        </w:rPr>
        <w:t>录</w:t>
      </w:r>
    </w:p>
    <w:p>
      <w:pPr>
        <w:pStyle w:val="19"/>
        <w:tabs>
          <w:tab w:val="right" w:leader="dot" w:pos="8294"/>
        </w:tabs>
        <w:spacing w:line="400" w:lineRule="exact"/>
        <w:rPr>
          <w:rFonts w:ascii="Times New Roman" w:hAnsi="Times New Roman"/>
          <w:sz w:val="24"/>
          <w:szCs w:val="24"/>
          <w:highlight w:val="none"/>
        </w:rPr>
      </w:pPr>
      <w:r>
        <w:rPr>
          <w:rFonts w:ascii="Times New Roman" w:hAnsi="Times New Roman" w:eastAsia="宋体"/>
          <w:b w:val="0"/>
          <w:bCs w:val="0"/>
          <w:sz w:val="24"/>
          <w:szCs w:val="24"/>
          <w:highlight w:val="none"/>
        </w:rPr>
        <w:fldChar w:fldCharType="begin"/>
      </w:r>
      <w:r>
        <w:rPr>
          <w:rFonts w:ascii="Times New Roman" w:hAnsi="Times New Roman" w:eastAsia="宋体"/>
          <w:b w:val="0"/>
          <w:bCs w:val="0"/>
          <w:sz w:val="24"/>
          <w:szCs w:val="24"/>
          <w:highlight w:val="none"/>
        </w:rPr>
        <w:instrText xml:space="preserve"> TOC \o "1-3" \h \z \u </w:instrText>
      </w:r>
      <w:r>
        <w:rPr>
          <w:rFonts w:ascii="Times New Roman" w:hAnsi="Times New Roman" w:eastAsia="宋体"/>
          <w:b w:val="0"/>
          <w:bCs w:val="0"/>
          <w:sz w:val="24"/>
          <w:szCs w:val="24"/>
          <w:highlight w:val="none"/>
        </w:rPr>
        <w:fldChar w:fldCharType="separate"/>
      </w:r>
      <w:r>
        <w:rPr>
          <w:highlight w:val="none"/>
        </w:rPr>
        <w:fldChar w:fldCharType="begin"/>
      </w:r>
      <w:r>
        <w:rPr>
          <w:highlight w:val="none"/>
        </w:rPr>
        <w:instrText xml:space="preserve"> HYPERLINK \l "_Toc551209637" </w:instrText>
      </w:r>
      <w:r>
        <w:rPr>
          <w:highlight w:val="none"/>
        </w:rPr>
        <w:fldChar w:fldCharType="separate"/>
      </w:r>
      <w:r>
        <w:rPr>
          <w:rFonts w:ascii="Times New Roman" w:hAnsi="Times New Roman" w:eastAsia="黑体"/>
          <w:sz w:val="24"/>
          <w:szCs w:val="24"/>
          <w:highlight w:val="none"/>
        </w:rPr>
        <w:t>执行概要</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_Toc551209637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1</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"_Toc394298123" </w:instrText>
      </w:r>
      <w:r>
        <w:rPr>
          <w:highlight w:val="none"/>
        </w:rPr>
        <w:fldChar w:fldCharType="separate"/>
      </w:r>
      <w:r>
        <w:rPr>
          <w:rFonts w:ascii="Times New Roman" w:hAnsi="Times New Roman" w:eastAsia="黑体"/>
          <w:bCs w:val="0"/>
          <w:sz w:val="24"/>
          <w:szCs w:val="24"/>
          <w:highlight w:val="none"/>
        </w:rPr>
        <w:t>缩略词</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_Toc394298123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5</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"_Toc296523446" </w:instrText>
      </w:r>
      <w:r>
        <w:rPr>
          <w:highlight w:val="none"/>
        </w:rPr>
        <w:fldChar w:fldCharType="separate"/>
      </w:r>
      <w:r>
        <w:rPr>
          <w:rFonts w:ascii="Times New Roman" w:hAnsi="Times New Roman" w:eastAsia="黑体"/>
          <w:bCs w:val="0"/>
          <w:sz w:val="24"/>
          <w:szCs w:val="24"/>
          <w:highlight w:val="none"/>
        </w:rPr>
        <w:t>1. 引言</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_Toc296523446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1</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"_Toc2070893046" </w:instrText>
      </w:r>
      <w:r>
        <w:rPr>
          <w:highlight w:val="none"/>
        </w:rPr>
        <w:fldChar w:fldCharType="separate"/>
      </w:r>
      <w:r>
        <w:rPr>
          <w:rFonts w:ascii="Times New Roman" w:hAnsi="Times New Roman" w:eastAsia="仿宋_GB2312"/>
          <w:sz w:val="24"/>
          <w:szCs w:val="24"/>
          <w:highlight w:val="none"/>
        </w:rPr>
        <w:t>1.1 项目背景</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_Toc2070893046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1</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"_Toc1467778342" </w:instrText>
      </w:r>
      <w:r>
        <w:rPr>
          <w:highlight w:val="none"/>
        </w:rPr>
        <w:fldChar w:fldCharType="separate"/>
      </w:r>
      <w:r>
        <w:rPr>
          <w:rFonts w:ascii="Times New Roman" w:hAnsi="Times New Roman" w:eastAsia="仿宋_GB2312"/>
          <w:sz w:val="24"/>
          <w:szCs w:val="24"/>
          <w:highlight w:val="none"/>
        </w:rPr>
        <w:t>1.2 项目描述</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_Toc1467778342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"_Toc371305349" </w:instrText>
      </w:r>
      <w:r>
        <w:rPr>
          <w:highlight w:val="none"/>
        </w:rPr>
        <w:fldChar w:fldCharType="separate"/>
      </w:r>
      <w:r>
        <w:rPr>
          <w:rFonts w:ascii="Times New Roman" w:hAnsi="Times New Roman" w:eastAsia="仿宋_GB2312"/>
          <w:i w:val="0"/>
          <w:sz w:val="24"/>
          <w:szCs w:val="24"/>
          <w:highlight w:val="none"/>
        </w:rPr>
        <w:t>1.2.1 项目名称</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_Toc371305349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2</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"_Toc1599976647" </w:instrText>
      </w:r>
      <w:r>
        <w:rPr>
          <w:highlight w:val="none"/>
        </w:rPr>
        <w:fldChar w:fldCharType="separate"/>
      </w:r>
      <w:r>
        <w:rPr>
          <w:rFonts w:ascii="Times New Roman" w:hAnsi="Times New Roman" w:eastAsia="仿宋_GB2312"/>
          <w:i w:val="0"/>
          <w:sz w:val="24"/>
          <w:szCs w:val="24"/>
          <w:highlight w:val="none"/>
        </w:rPr>
        <w:t>1.2.2 执行机构</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_Toc1599976647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2</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"_Toc1644931025" </w:instrText>
      </w:r>
      <w:r>
        <w:rPr>
          <w:highlight w:val="none"/>
        </w:rPr>
        <w:fldChar w:fldCharType="separate"/>
      </w:r>
      <w:r>
        <w:rPr>
          <w:rFonts w:ascii="Times New Roman" w:hAnsi="Times New Roman" w:eastAsia="仿宋_GB2312"/>
          <w:i w:val="0"/>
          <w:sz w:val="24"/>
          <w:szCs w:val="24"/>
          <w:highlight w:val="none"/>
        </w:rPr>
        <w:t>1.2.3 建设目标</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_Toc1644931025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2</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"_Toc1363907889" </w:instrText>
      </w:r>
      <w:r>
        <w:rPr>
          <w:highlight w:val="none"/>
        </w:rPr>
        <w:fldChar w:fldCharType="separate"/>
      </w:r>
      <w:r>
        <w:rPr>
          <w:rFonts w:ascii="Times New Roman" w:hAnsi="Times New Roman" w:eastAsia="仿宋_GB2312"/>
          <w:i w:val="0"/>
          <w:sz w:val="24"/>
          <w:szCs w:val="24"/>
          <w:highlight w:val="none"/>
        </w:rPr>
        <w:t>1.2.4 实施内容</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_Toc1363907889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3</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"_Toc419077469" </w:instrText>
      </w:r>
      <w:r>
        <w:rPr>
          <w:highlight w:val="none"/>
        </w:rPr>
        <w:fldChar w:fldCharType="separate"/>
      </w:r>
      <w:r>
        <w:rPr>
          <w:rFonts w:ascii="Times New Roman" w:hAnsi="Times New Roman" w:eastAsia="仿宋_GB2312"/>
          <w:sz w:val="24"/>
          <w:szCs w:val="24"/>
          <w:highlight w:val="none"/>
        </w:rPr>
        <w:t>1.3 本框架的目的</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_Toc419077469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5</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"_Toc414393582" </w:instrText>
      </w:r>
      <w:r>
        <w:rPr>
          <w:highlight w:val="none"/>
        </w:rPr>
        <w:fldChar w:fldCharType="separate"/>
      </w:r>
      <w:r>
        <w:rPr>
          <w:rFonts w:ascii="Times New Roman" w:hAnsi="Times New Roman" w:eastAsia="仿宋_GB2312"/>
          <w:sz w:val="24"/>
          <w:szCs w:val="24"/>
          <w:highlight w:val="none"/>
        </w:rPr>
        <w:t>1.4 本框架的编制方法</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_Toc414393582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6</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"_Toc1157605983" </w:instrText>
      </w:r>
      <w:r>
        <w:rPr>
          <w:highlight w:val="none"/>
        </w:rPr>
        <w:fldChar w:fldCharType="separate"/>
      </w:r>
      <w:r>
        <w:rPr>
          <w:rFonts w:ascii="Times New Roman" w:hAnsi="Times New Roman" w:eastAsia="黑体"/>
          <w:bCs w:val="0"/>
          <w:sz w:val="24"/>
          <w:szCs w:val="24"/>
          <w:highlight w:val="none"/>
        </w:rPr>
        <w:t xml:space="preserve">2. </w:t>
      </w:r>
      <w:r>
        <w:rPr>
          <w:rFonts w:ascii="Times New Roman" w:hAnsi="Times New Roman" w:eastAsia="黑体"/>
          <w:bCs w:val="0"/>
          <w:kern w:val="0"/>
          <w:sz w:val="24"/>
          <w:szCs w:val="24"/>
          <w:highlight w:val="none"/>
        </w:rPr>
        <w:t>项目建设地点概况</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_Toc1157605983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7</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"_Toc1620420067" </w:instrText>
      </w:r>
      <w:r>
        <w:rPr>
          <w:highlight w:val="none"/>
        </w:rPr>
        <w:fldChar w:fldCharType="separate"/>
      </w:r>
      <w:r>
        <w:rPr>
          <w:rFonts w:ascii="Times New Roman" w:hAnsi="Times New Roman" w:eastAsia="黑体"/>
          <w:bCs w:val="0"/>
          <w:sz w:val="24"/>
          <w:szCs w:val="24"/>
          <w:highlight w:val="none"/>
        </w:rPr>
        <w:t>3. 项目适用的环境和社会法律法规政策框架</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_Toc1620420067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8</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"_Toc1350329295" </w:instrText>
      </w:r>
      <w:r>
        <w:rPr>
          <w:highlight w:val="none"/>
        </w:rPr>
        <w:fldChar w:fldCharType="separate"/>
      </w:r>
      <w:r>
        <w:rPr>
          <w:rFonts w:ascii="Times New Roman" w:hAnsi="Times New Roman" w:eastAsia="仿宋_GB2312"/>
          <w:sz w:val="24"/>
          <w:szCs w:val="24"/>
          <w:highlight w:val="none"/>
        </w:rPr>
        <w:t>3.1 世界银行环境与社会框架</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_Toc1350329295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8</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"_Toc1481621373" </w:instrText>
      </w:r>
      <w:r>
        <w:rPr>
          <w:highlight w:val="none"/>
        </w:rPr>
        <w:fldChar w:fldCharType="separate"/>
      </w:r>
      <w:r>
        <w:rPr>
          <w:rFonts w:ascii="Times New Roman" w:hAnsi="Times New Roman" w:eastAsia="仿宋_GB2312"/>
          <w:sz w:val="24"/>
          <w:szCs w:val="24"/>
          <w:highlight w:val="none"/>
        </w:rPr>
        <w:t>3.2 国内环境相关的法律法规政策框架</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_Toc1481621373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10</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"_Toc1762246054" </w:instrText>
      </w:r>
      <w:r>
        <w:rPr>
          <w:highlight w:val="none"/>
        </w:rPr>
        <w:fldChar w:fldCharType="separate"/>
      </w:r>
      <w:r>
        <w:rPr>
          <w:rFonts w:ascii="Times New Roman" w:hAnsi="Times New Roman" w:eastAsia="仿宋_GB2312"/>
          <w:i w:val="0"/>
          <w:sz w:val="24"/>
          <w:szCs w:val="24"/>
          <w:highlight w:val="none"/>
        </w:rPr>
        <w:t>3.2.1 国内环境相关的法律法规政策框架</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_Toc1762246054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10</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"_Toc1742650484" </w:instrText>
      </w:r>
      <w:r>
        <w:rPr>
          <w:highlight w:val="none"/>
        </w:rPr>
        <w:fldChar w:fldCharType="separate"/>
      </w:r>
      <w:r>
        <w:rPr>
          <w:rFonts w:ascii="Times New Roman" w:hAnsi="Times New Roman" w:eastAsia="仿宋_GB2312"/>
          <w:bCs/>
          <w:i w:val="0"/>
          <w:sz w:val="24"/>
          <w:szCs w:val="24"/>
          <w:highlight w:val="none"/>
        </w:rPr>
        <w:t>3.2.2 环境方面的政策差异及解决措施</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_Toc1742650484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12</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"_Toc589960105" </w:instrText>
      </w:r>
      <w:r>
        <w:rPr>
          <w:highlight w:val="none"/>
        </w:rPr>
        <w:fldChar w:fldCharType="separate"/>
      </w:r>
      <w:r>
        <w:rPr>
          <w:rFonts w:ascii="Times New Roman" w:hAnsi="Times New Roman" w:eastAsia="仿宋_GB2312"/>
          <w:sz w:val="24"/>
          <w:szCs w:val="24"/>
          <w:highlight w:val="none"/>
        </w:rPr>
        <w:t>3.3 国内社会相关的法律法规政策框架</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_Toc589960105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13</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3"/>
        <w:tabs>
          <w:tab w:val="right" w:leader="dot" w:pos="8294"/>
        </w:tabs>
        <w:spacing w:line="400" w:lineRule="exact"/>
        <w:rPr>
          <w:rFonts w:ascii="Times New Roman" w:hAnsi="Times New Roman" w:eastAsia="仿宋_GB2312"/>
          <w:i w:val="0"/>
          <w:sz w:val="24"/>
          <w:szCs w:val="24"/>
          <w:highlight w:val="none"/>
        </w:rPr>
      </w:pPr>
      <w:r>
        <w:rPr>
          <w:highlight w:val="none"/>
        </w:rPr>
        <w:fldChar w:fldCharType="begin"/>
      </w:r>
      <w:r>
        <w:rPr>
          <w:highlight w:val="none"/>
        </w:rPr>
        <w:instrText xml:space="preserve"> HYPERLINK \l "_Toc103259687" </w:instrText>
      </w:r>
      <w:r>
        <w:rPr>
          <w:highlight w:val="none"/>
        </w:rPr>
        <w:fldChar w:fldCharType="separate"/>
      </w:r>
      <w:r>
        <w:rPr>
          <w:rFonts w:ascii="Times New Roman" w:hAnsi="Times New Roman" w:eastAsia="仿宋_GB2312"/>
          <w:i w:val="0"/>
          <w:sz w:val="24"/>
          <w:szCs w:val="24"/>
          <w:highlight w:val="none"/>
        </w:rPr>
        <w:t>3.3.1 社会管理政策体系</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_Toc103259687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13</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3"/>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"_Toc953771734" </w:instrText>
      </w:r>
      <w:r>
        <w:rPr>
          <w:highlight w:val="none"/>
        </w:rPr>
        <w:fldChar w:fldCharType="separate"/>
      </w:r>
      <w:r>
        <w:rPr>
          <w:rFonts w:ascii="Times New Roman" w:hAnsi="Times New Roman" w:eastAsia="仿宋_GB2312"/>
          <w:bCs/>
          <w:i w:val="0"/>
          <w:sz w:val="24"/>
          <w:szCs w:val="24"/>
          <w:highlight w:val="none"/>
        </w:rPr>
        <w:t>3.3.2 社会方面的政策差异及解决措施</w:t>
      </w:r>
      <w:r>
        <w:rPr>
          <w:rFonts w:ascii="Times New Roman" w:hAnsi="Times New Roman" w:eastAsia="仿宋_GB2312"/>
          <w:i w:val="0"/>
          <w:sz w:val="24"/>
          <w:szCs w:val="24"/>
          <w:highlight w:val="none"/>
        </w:rPr>
        <w:tab/>
      </w:r>
      <w:r>
        <w:rPr>
          <w:rFonts w:ascii="Times New Roman" w:hAnsi="Times New Roman" w:eastAsia="仿宋_GB2312"/>
          <w:i w:val="0"/>
          <w:sz w:val="24"/>
          <w:szCs w:val="24"/>
          <w:highlight w:val="none"/>
        </w:rPr>
        <w:fldChar w:fldCharType="begin"/>
      </w:r>
      <w:r>
        <w:rPr>
          <w:rFonts w:ascii="Times New Roman" w:hAnsi="Times New Roman" w:eastAsia="仿宋_GB2312"/>
          <w:i w:val="0"/>
          <w:sz w:val="24"/>
          <w:szCs w:val="24"/>
          <w:highlight w:val="none"/>
        </w:rPr>
        <w:instrText xml:space="preserve"> PAGEREF _Toc953771734 </w:instrText>
      </w:r>
      <w:r>
        <w:rPr>
          <w:rFonts w:ascii="Times New Roman" w:hAnsi="Times New Roman" w:eastAsia="仿宋_GB2312"/>
          <w:i w:val="0"/>
          <w:sz w:val="24"/>
          <w:szCs w:val="24"/>
          <w:highlight w:val="none"/>
        </w:rPr>
        <w:fldChar w:fldCharType="separate"/>
      </w:r>
      <w:r>
        <w:rPr>
          <w:rFonts w:ascii="Times New Roman" w:hAnsi="Times New Roman" w:eastAsia="仿宋_GB2312"/>
          <w:i w:val="0"/>
          <w:sz w:val="24"/>
          <w:szCs w:val="24"/>
          <w:highlight w:val="none"/>
        </w:rPr>
        <w:t>18</w:t>
      </w:r>
      <w:r>
        <w:rPr>
          <w:rFonts w:ascii="Times New Roman" w:hAnsi="Times New Roman" w:eastAsia="仿宋_GB2312"/>
          <w:i w:val="0"/>
          <w:sz w:val="24"/>
          <w:szCs w:val="24"/>
          <w:highlight w:val="none"/>
        </w:rPr>
        <w:fldChar w:fldCharType="end"/>
      </w:r>
      <w:r>
        <w:rPr>
          <w:rFonts w:ascii="Times New Roman" w:hAnsi="Times New Roman" w:eastAsia="仿宋_GB2312"/>
          <w:i w:val="0"/>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"_Toc2052311800" </w:instrText>
      </w:r>
      <w:r>
        <w:rPr>
          <w:highlight w:val="none"/>
        </w:rPr>
        <w:fldChar w:fldCharType="separate"/>
      </w:r>
      <w:r>
        <w:rPr>
          <w:rFonts w:ascii="Times New Roman" w:hAnsi="Times New Roman" w:eastAsia="黑体"/>
          <w:bCs w:val="0"/>
          <w:sz w:val="24"/>
          <w:szCs w:val="24"/>
          <w:highlight w:val="none"/>
        </w:rPr>
        <w:t>4. 环境和社会风险的识别与管理</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_Toc2052311800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20</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"_Toc828944111" </w:instrText>
      </w:r>
      <w:r>
        <w:rPr>
          <w:highlight w:val="none"/>
        </w:rPr>
        <w:fldChar w:fldCharType="separate"/>
      </w:r>
      <w:r>
        <w:rPr>
          <w:rFonts w:ascii="Times New Roman" w:hAnsi="Times New Roman" w:eastAsia="仿宋_GB2312"/>
          <w:sz w:val="24"/>
          <w:szCs w:val="24"/>
          <w:highlight w:val="none"/>
        </w:rPr>
        <w:t>4.1 环境和社会效益</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_Toc828944111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20</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"_Toc1496010672" </w:instrText>
      </w:r>
      <w:r>
        <w:rPr>
          <w:highlight w:val="none"/>
        </w:rPr>
        <w:fldChar w:fldCharType="separate"/>
      </w:r>
      <w:r>
        <w:rPr>
          <w:rFonts w:ascii="Times New Roman" w:hAnsi="Times New Roman" w:eastAsia="仿宋_GB2312"/>
          <w:sz w:val="24"/>
          <w:szCs w:val="24"/>
          <w:highlight w:val="none"/>
        </w:rPr>
        <w:t>4.2 潜在的环境和社会风险识别</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_Toc1496010672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21</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"_Toc531828001" </w:instrText>
      </w:r>
      <w:r>
        <w:rPr>
          <w:highlight w:val="none"/>
        </w:rPr>
        <w:fldChar w:fldCharType="separate"/>
      </w:r>
      <w:r>
        <w:rPr>
          <w:rFonts w:ascii="Times New Roman" w:hAnsi="Times New Roman" w:eastAsia="仿宋_GB2312"/>
          <w:sz w:val="24"/>
          <w:szCs w:val="24"/>
          <w:highlight w:val="none"/>
        </w:rPr>
        <w:t>4.3 环境和社会影响分析</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_Toc531828001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25</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"_Toc2006449114" </w:instrText>
      </w:r>
      <w:r>
        <w:rPr>
          <w:highlight w:val="none"/>
        </w:rPr>
        <w:fldChar w:fldCharType="separate"/>
      </w:r>
      <w:r>
        <w:rPr>
          <w:rFonts w:ascii="Times New Roman" w:hAnsi="Times New Roman" w:eastAsia="仿宋_GB2312"/>
          <w:sz w:val="24"/>
          <w:szCs w:val="24"/>
          <w:highlight w:val="none"/>
        </w:rPr>
        <w:t>4.4 环境与社会风险管理</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_Toc2006449114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27</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"_Toc578907869" </w:instrText>
      </w:r>
      <w:r>
        <w:rPr>
          <w:highlight w:val="none"/>
        </w:rPr>
        <w:fldChar w:fldCharType="separate"/>
      </w:r>
      <w:r>
        <w:rPr>
          <w:rFonts w:ascii="Times New Roman" w:hAnsi="Times New Roman" w:eastAsia="黑体"/>
          <w:bCs w:val="0"/>
          <w:sz w:val="24"/>
          <w:szCs w:val="24"/>
          <w:highlight w:val="none"/>
        </w:rPr>
        <w:t>5. 环境和社会管理程序</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_Toc578907869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29</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"_Toc2138570588" </w:instrText>
      </w:r>
      <w:r>
        <w:rPr>
          <w:highlight w:val="none"/>
        </w:rPr>
        <w:fldChar w:fldCharType="separate"/>
      </w:r>
      <w:r>
        <w:rPr>
          <w:rFonts w:ascii="Times New Roman" w:hAnsi="Times New Roman" w:eastAsia="仿宋_GB2312"/>
          <w:sz w:val="24"/>
          <w:szCs w:val="24"/>
          <w:highlight w:val="none"/>
        </w:rPr>
        <w:t>5.1 子项目环境与社会筛选</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_Toc2138570588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30</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"_Toc308084631" </w:instrText>
      </w:r>
      <w:r>
        <w:rPr>
          <w:highlight w:val="none"/>
        </w:rPr>
        <w:fldChar w:fldCharType="separate"/>
      </w:r>
      <w:r>
        <w:rPr>
          <w:rFonts w:ascii="Times New Roman" w:hAnsi="Times New Roman" w:eastAsia="仿宋_GB2312"/>
          <w:sz w:val="24"/>
          <w:szCs w:val="24"/>
          <w:highlight w:val="none"/>
        </w:rPr>
        <w:t>5.2 子项目准备</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_Toc308084631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"_Toc843130618" </w:instrText>
      </w:r>
      <w:r>
        <w:rPr>
          <w:highlight w:val="none"/>
        </w:rPr>
        <w:fldChar w:fldCharType="separate"/>
      </w:r>
      <w:r>
        <w:rPr>
          <w:rFonts w:ascii="Times New Roman" w:hAnsi="Times New Roman" w:eastAsia="仿宋_GB2312"/>
          <w:sz w:val="24"/>
          <w:szCs w:val="24"/>
          <w:highlight w:val="none"/>
        </w:rPr>
        <w:t>5.3 环境社会管理文件审查批准</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_Toc843130618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"_Toc1814313556" </w:instrText>
      </w:r>
      <w:r>
        <w:rPr>
          <w:highlight w:val="none"/>
        </w:rPr>
        <w:fldChar w:fldCharType="separate"/>
      </w:r>
      <w:r>
        <w:rPr>
          <w:rFonts w:ascii="Times New Roman" w:hAnsi="Times New Roman" w:eastAsia="仿宋_GB2312"/>
          <w:sz w:val="24"/>
          <w:szCs w:val="24"/>
          <w:highlight w:val="none"/>
        </w:rPr>
        <w:t>5.4 公众参与</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_Toc1814313556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"_Toc765229067" </w:instrText>
      </w:r>
      <w:r>
        <w:rPr>
          <w:highlight w:val="none"/>
        </w:rPr>
        <w:fldChar w:fldCharType="separate"/>
      </w:r>
      <w:r>
        <w:rPr>
          <w:rFonts w:ascii="Times New Roman" w:hAnsi="Times New Roman" w:eastAsia="仿宋_GB2312"/>
          <w:sz w:val="24"/>
          <w:szCs w:val="24"/>
          <w:highlight w:val="none"/>
        </w:rPr>
        <w:t>5.5 监测与报告</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_Toc765229067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"_Toc1394340255" </w:instrText>
      </w:r>
      <w:r>
        <w:rPr>
          <w:highlight w:val="none"/>
        </w:rPr>
        <w:fldChar w:fldCharType="separate"/>
      </w:r>
      <w:r>
        <w:rPr>
          <w:rFonts w:ascii="Times New Roman" w:hAnsi="Times New Roman" w:eastAsia="仿宋_GB2312"/>
          <w:sz w:val="24"/>
          <w:szCs w:val="24"/>
          <w:highlight w:val="none"/>
        </w:rPr>
        <w:t>5.6 项目完工及评估</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_Toc1394340255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33</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"_Toc61128032" </w:instrText>
      </w:r>
      <w:r>
        <w:rPr>
          <w:highlight w:val="none"/>
        </w:rPr>
        <w:fldChar w:fldCharType="separate"/>
      </w:r>
      <w:r>
        <w:rPr>
          <w:rFonts w:ascii="Times New Roman" w:hAnsi="Times New Roman" w:eastAsia="黑体"/>
          <w:bCs w:val="0"/>
          <w:sz w:val="24"/>
          <w:szCs w:val="24"/>
          <w:highlight w:val="none"/>
        </w:rPr>
        <w:t>6. 信息公开及公众参与</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_Toc61128032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33</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"_Toc1061752513" </w:instrText>
      </w:r>
      <w:r>
        <w:rPr>
          <w:highlight w:val="none"/>
        </w:rPr>
        <w:fldChar w:fldCharType="separate"/>
      </w:r>
      <w:r>
        <w:rPr>
          <w:rFonts w:ascii="Times New Roman" w:hAnsi="Times New Roman" w:eastAsia="仿宋_GB2312"/>
          <w:sz w:val="24"/>
          <w:szCs w:val="24"/>
          <w:highlight w:val="none"/>
        </w:rPr>
        <w:t>6.1 利益相关方的识别</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_Toc1061752513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34</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"_Toc1317749653" </w:instrText>
      </w:r>
      <w:r>
        <w:rPr>
          <w:highlight w:val="none"/>
        </w:rPr>
        <w:fldChar w:fldCharType="separate"/>
      </w:r>
      <w:r>
        <w:rPr>
          <w:rFonts w:ascii="Times New Roman" w:hAnsi="Times New Roman" w:eastAsia="仿宋_GB2312"/>
          <w:sz w:val="24"/>
          <w:szCs w:val="24"/>
          <w:highlight w:val="none"/>
        </w:rPr>
        <w:t>6.2 准备期已经完成的信息披露与磋商活动</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_Toc1317749653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34</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"_Toc1528906374" </w:instrText>
      </w:r>
      <w:r>
        <w:rPr>
          <w:highlight w:val="none"/>
        </w:rPr>
        <w:fldChar w:fldCharType="separate"/>
      </w:r>
      <w:r>
        <w:rPr>
          <w:rFonts w:ascii="Times New Roman" w:hAnsi="Times New Roman" w:eastAsia="仿宋_GB2312"/>
          <w:sz w:val="24"/>
          <w:szCs w:val="24"/>
          <w:highlight w:val="none"/>
        </w:rPr>
        <w:t>6.3 利益相关方参与实施程序及要求</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_Toc1528906374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36</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"_Toc1433057863" </w:instrText>
      </w:r>
      <w:r>
        <w:rPr>
          <w:highlight w:val="none"/>
        </w:rPr>
        <w:fldChar w:fldCharType="separate"/>
      </w:r>
      <w:r>
        <w:rPr>
          <w:rFonts w:ascii="Times New Roman" w:hAnsi="Times New Roman" w:eastAsia="仿宋_GB2312"/>
          <w:sz w:val="24"/>
          <w:szCs w:val="24"/>
          <w:highlight w:val="none"/>
        </w:rPr>
        <w:t>6.4 申诉抱怨机制</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_Toc1433057863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38</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"_Toc770242653" </w:instrText>
      </w:r>
      <w:r>
        <w:rPr>
          <w:highlight w:val="none"/>
        </w:rPr>
        <w:fldChar w:fldCharType="separate"/>
      </w:r>
      <w:r>
        <w:rPr>
          <w:rFonts w:ascii="Times New Roman" w:hAnsi="Times New Roman" w:eastAsia="黑体"/>
          <w:bCs w:val="0"/>
          <w:sz w:val="24"/>
          <w:szCs w:val="24"/>
          <w:highlight w:val="none"/>
        </w:rPr>
        <w:t>7. 机构安排及职责</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_Toc770242653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39</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"_Toc1026353752" </w:instrText>
      </w:r>
      <w:r>
        <w:rPr>
          <w:highlight w:val="none"/>
        </w:rPr>
        <w:fldChar w:fldCharType="separate"/>
      </w:r>
      <w:r>
        <w:rPr>
          <w:rFonts w:ascii="Times New Roman" w:hAnsi="Times New Roman" w:eastAsia="黑体"/>
          <w:bCs w:val="0"/>
          <w:sz w:val="24"/>
          <w:szCs w:val="24"/>
          <w:highlight w:val="none"/>
        </w:rPr>
        <w:t>8. 项目监测及报告</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_Toc1026353752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41</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"_Toc649482104" </w:instrText>
      </w:r>
      <w:r>
        <w:rPr>
          <w:highlight w:val="none"/>
        </w:rPr>
        <w:fldChar w:fldCharType="separate"/>
      </w:r>
      <w:r>
        <w:rPr>
          <w:rFonts w:ascii="Times New Roman" w:hAnsi="Times New Roman" w:eastAsia="仿宋_GB2312"/>
          <w:sz w:val="24"/>
          <w:szCs w:val="24"/>
          <w:highlight w:val="none"/>
        </w:rPr>
        <w:t>8.1 目实施监测</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_Toc649482104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41</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"_Toc1189320122" </w:instrText>
      </w:r>
      <w:r>
        <w:rPr>
          <w:highlight w:val="none"/>
        </w:rPr>
        <w:fldChar w:fldCharType="separate"/>
      </w:r>
      <w:r>
        <w:rPr>
          <w:rFonts w:ascii="Times New Roman" w:hAnsi="Times New Roman" w:eastAsia="仿宋_GB2312"/>
          <w:sz w:val="24"/>
          <w:szCs w:val="24"/>
          <w:highlight w:val="none"/>
        </w:rPr>
        <w:t>8.2 报告制度</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_Toc1189320122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41</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19"/>
        <w:tabs>
          <w:tab w:val="right" w:leader="dot" w:pos="8294"/>
        </w:tabs>
        <w:spacing w:line="400" w:lineRule="exact"/>
        <w:rPr>
          <w:rFonts w:ascii="Times New Roman" w:hAnsi="Times New Roman"/>
          <w:sz w:val="24"/>
          <w:szCs w:val="24"/>
          <w:highlight w:val="none"/>
        </w:rPr>
      </w:pPr>
      <w:r>
        <w:rPr>
          <w:highlight w:val="none"/>
        </w:rPr>
        <w:fldChar w:fldCharType="begin"/>
      </w:r>
      <w:r>
        <w:rPr>
          <w:highlight w:val="none"/>
        </w:rPr>
        <w:instrText xml:space="preserve"> HYPERLINK \l "_Toc1440747334" </w:instrText>
      </w:r>
      <w:r>
        <w:rPr>
          <w:highlight w:val="none"/>
        </w:rPr>
        <w:fldChar w:fldCharType="separate"/>
      </w:r>
      <w:r>
        <w:rPr>
          <w:rFonts w:ascii="Times New Roman" w:hAnsi="Times New Roman" w:eastAsia="黑体"/>
          <w:sz w:val="24"/>
          <w:szCs w:val="24"/>
          <w:highlight w:val="none"/>
        </w:rPr>
        <w:t>附件</w:t>
      </w:r>
      <w:r>
        <w:rPr>
          <w:rFonts w:ascii="Times New Roman" w:hAnsi="Times New Roman"/>
          <w:b w:val="0"/>
          <w:sz w:val="24"/>
          <w:szCs w:val="24"/>
          <w:highlight w:val="none"/>
        </w:rPr>
        <w:tab/>
      </w:r>
      <w:r>
        <w:rPr>
          <w:rFonts w:ascii="Times New Roman" w:hAnsi="Times New Roman"/>
          <w:b w:val="0"/>
          <w:sz w:val="24"/>
          <w:szCs w:val="24"/>
          <w:highlight w:val="none"/>
        </w:rPr>
        <w:fldChar w:fldCharType="begin"/>
      </w:r>
      <w:r>
        <w:rPr>
          <w:rFonts w:ascii="Times New Roman" w:hAnsi="Times New Roman"/>
          <w:b w:val="0"/>
          <w:sz w:val="24"/>
          <w:szCs w:val="24"/>
          <w:highlight w:val="none"/>
        </w:rPr>
        <w:instrText xml:space="preserve"> PAGEREF _Toc1440747334 </w:instrText>
      </w:r>
      <w:r>
        <w:rPr>
          <w:rFonts w:ascii="Times New Roman" w:hAnsi="Times New Roman"/>
          <w:b w:val="0"/>
          <w:sz w:val="24"/>
          <w:szCs w:val="24"/>
          <w:highlight w:val="none"/>
        </w:rPr>
        <w:fldChar w:fldCharType="separate"/>
      </w:r>
      <w:r>
        <w:rPr>
          <w:rFonts w:ascii="Times New Roman" w:hAnsi="Times New Roman"/>
          <w:b w:val="0"/>
          <w:sz w:val="24"/>
          <w:szCs w:val="24"/>
          <w:highlight w:val="none"/>
        </w:rPr>
        <w:t>42</w:t>
      </w:r>
      <w:r>
        <w:rPr>
          <w:rFonts w:ascii="Times New Roman" w:hAnsi="Times New Roman"/>
          <w:b w:val="0"/>
          <w:sz w:val="24"/>
          <w:szCs w:val="24"/>
          <w:highlight w:val="none"/>
        </w:rPr>
        <w:fldChar w:fldCharType="end"/>
      </w:r>
      <w:r>
        <w:rPr>
          <w:rFonts w:ascii="Times New Roman" w:hAnsi="Times New Roman"/>
          <w:b w:val="0"/>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"_Toc1807088087" </w:instrText>
      </w:r>
      <w:r>
        <w:rPr>
          <w:highlight w:val="none"/>
        </w:rPr>
        <w:fldChar w:fldCharType="separate"/>
      </w:r>
      <w:r>
        <w:rPr>
          <w:rFonts w:ascii="Times New Roman" w:hAnsi="Times New Roman" w:eastAsia="仿宋_GB2312"/>
          <w:sz w:val="24"/>
          <w:szCs w:val="24"/>
          <w:highlight w:val="none"/>
        </w:rPr>
        <w:t>附件1  环境和社会（E&amp;S）筛选表格</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_Toc1807088087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42</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pStyle w:val="24"/>
        <w:tabs>
          <w:tab w:val="right" w:leader="dot" w:pos="8294"/>
        </w:tabs>
        <w:spacing w:line="400" w:lineRule="exact"/>
        <w:rPr>
          <w:rFonts w:ascii="Times New Roman" w:hAnsi="Times New Roman" w:eastAsia="仿宋_GB2312"/>
          <w:sz w:val="24"/>
          <w:szCs w:val="24"/>
          <w:highlight w:val="none"/>
        </w:rPr>
      </w:pPr>
      <w:r>
        <w:rPr>
          <w:highlight w:val="none"/>
        </w:rPr>
        <w:fldChar w:fldCharType="begin"/>
      </w:r>
      <w:r>
        <w:rPr>
          <w:highlight w:val="none"/>
        </w:rPr>
        <w:instrText xml:space="preserve"> HYPERLINK \l "_Toc662256541" </w:instrText>
      </w:r>
      <w:r>
        <w:rPr>
          <w:highlight w:val="none"/>
        </w:rPr>
        <w:fldChar w:fldCharType="separate"/>
      </w:r>
      <w:r>
        <w:rPr>
          <w:rFonts w:ascii="Times New Roman" w:hAnsi="Times New Roman" w:eastAsia="仿宋_GB2312"/>
          <w:sz w:val="24"/>
          <w:szCs w:val="24"/>
          <w:highlight w:val="none"/>
        </w:rPr>
        <w:t>附件2  生物实验室安全管理措施、现场调研健康安全管理措施</w:t>
      </w:r>
      <w:r>
        <w:rPr>
          <w:rFonts w:ascii="Times New Roman" w:hAnsi="Times New Roman" w:eastAsia="仿宋_GB2312"/>
          <w:sz w:val="24"/>
          <w:szCs w:val="24"/>
          <w:highlight w:val="none"/>
        </w:rPr>
        <w:tab/>
      </w:r>
      <w:r>
        <w:rPr>
          <w:rFonts w:ascii="Times New Roman" w:hAnsi="Times New Roman" w:eastAsia="仿宋_GB2312"/>
          <w:sz w:val="24"/>
          <w:szCs w:val="24"/>
          <w:highlight w:val="none"/>
        </w:rPr>
        <w:fldChar w:fldCharType="begin"/>
      </w:r>
      <w:r>
        <w:rPr>
          <w:rFonts w:ascii="Times New Roman" w:hAnsi="Times New Roman" w:eastAsia="仿宋_GB2312"/>
          <w:sz w:val="24"/>
          <w:szCs w:val="24"/>
          <w:highlight w:val="none"/>
        </w:rPr>
        <w:instrText xml:space="preserve"> PAGEREF _Toc662256541 </w:instrText>
      </w:r>
      <w:r>
        <w:rPr>
          <w:rFonts w:ascii="Times New Roman" w:hAnsi="Times New Roman" w:eastAsia="仿宋_GB2312"/>
          <w:sz w:val="24"/>
          <w:szCs w:val="24"/>
          <w:highlight w:val="none"/>
        </w:rPr>
        <w:fldChar w:fldCharType="separate"/>
      </w:r>
      <w:r>
        <w:rPr>
          <w:rFonts w:ascii="Times New Roman" w:hAnsi="Times New Roman" w:eastAsia="仿宋_GB2312"/>
          <w:sz w:val="24"/>
          <w:szCs w:val="24"/>
          <w:highlight w:val="none"/>
        </w:rPr>
        <w:t>46</w:t>
      </w:r>
      <w:r>
        <w:rPr>
          <w:rFonts w:ascii="Times New Roman" w:hAnsi="Times New Roman" w:eastAsia="仿宋_GB2312"/>
          <w:sz w:val="24"/>
          <w:szCs w:val="24"/>
          <w:highlight w:val="none"/>
        </w:rPr>
        <w:fldChar w:fldCharType="end"/>
      </w:r>
      <w:r>
        <w:rPr>
          <w:rFonts w:ascii="Times New Roman" w:hAnsi="Times New Roman" w:eastAsia="仿宋_GB2312"/>
          <w:sz w:val="24"/>
          <w:szCs w:val="24"/>
          <w:highlight w:val="none"/>
        </w:rPr>
        <w:fldChar w:fldCharType="end"/>
      </w:r>
    </w:p>
    <w:p>
      <w:pPr>
        <w:snapToGrid w:val="0"/>
        <w:spacing w:line="400" w:lineRule="exact"/>
        <w:jc w:val="left"/>
        <w:rPr>
          <w:rFonts w:ascii="Times New Roman" w:hAnsi="Times New Roman" w:eastAsia="微软雅黑 Light"/>
          <w:szCs w:val="21"/>
          <w:highlight w:val="none"/>
        </w:rPr>
      </w:pPr>
      <w:r>
        <w:rPr>
          <w:rFonts w:ascii="Times New Roman" w:hAnsi="Times New Roman" w:eastAsia="宋体"/>
          <w:sz w:val="24"/>
          <w:szCs w:val="24"/>
          <w:highlight w:val="none"/>
        </w:rPr>
        <w:fldChar w:fldCharType="end"/>
      </w:r>
    </w:p>
    <w:p>
      <w:pPr>
        <w:snapToGrid w:val="0"/>
        <w:spacing w:line="400" w:lineRule="exact"/>
        <w:rPr>
          <w:rFonts w:ascii="Times New Roman" w:hAnsi="Times New Roman" w:eastAsia="微软雅黑 Light"/>
          <w:szCs w:val="21"/>
          <w:highlight w:val="none"/>
        </w:rPr>
      </w:pPr>
    </w:p>
    <w:p>
      <w:pPr>
        <w:snapToGrid w:val="0"/>
        <w:spacing w:after="319" w:afterLines="100" w:line="520" w:lineRule="exact"/>
        <w:jc w:val="center"/>
        <w:outlineLvl w:val="0"/>
        <w:rPr>
          <w:rFonts w:ascii="Times New Roman" w:hAnsi="Times New Roman" w:eastAsia="微软雅黑"/>
          <w:b/>
          <w:bCs/>
          <w:sz w:val="28"/>
          <w:szCs w:val="28"/>
          <w:highlight w:val="none"/>
        </w:rPr>
        <w:sectPr>
          <w:footerReference r:id="rId10" w:type="first"/>
          <w:headerReference r:id="rId8" w:type="default"/>
          <w:footerReference r:id="rId9" w:type="default"/>
          <w:pgSz w:w="11900" w:h="16838"/>
          <w:pgMar w:top="1440" w:right="1803" w:bottom="1440" w:left="1803" w:header="851" w:footer="992" w:gutter="0"/>
          <w:pgNumType w:start="1"/>
          <w:cols w:space="720" w:num="1"/>
          <w:docGrid w:type="lines" w:linePitch="319" w:charSpace="0"/>
        </w:sectPr>
      </w:pPr>
      <w:bookmarkStart w:id="4" w:name="_Toc65772946"/>
    </w:p>
    <w:p>
      <w:pPr>
        <w:snapToGrid w:val="0"/>
        <w:spacing w:before="638" w:beforeLines="200" w:after="100" w:afterAutospacing="1" w:line="360" w:lineRule="auto"/>
        <w:jc w:val="center"/>
        <w:outlineLvl w:val="0"/>
        <w:rPr>
          <w:rFonts w:ascii="Times New Roman" w:hAnsi="Times New Roman" w:eastAsia="黑体"/>
          <w:b/>
          <w:bCs/>
          <w:sz w:val="44"/>
          <w:szCs w:val="44"/>
          <w:highlight w:val="none"/>
        </w:rPr>
      </w:pPr>
      <w:bookmarkStart w:id="5" w:name="_Toc551209637"/>
      <w:bookmarkStart w:id="6" w:name="_Toc5011"/>
      <w:r>
        <w:rPr>
          <w:rFonts w:ascii="Times New Roman" w:hAnsi="Times New Roman" w:eastAsia="黑体"/>
          <w:b/>
          <w:bCs/>
          <w:sz w:val="44"/>
          <w:szCs w:val="44"/>
          <w:highlight w:val="none"/>
        </w:rPr>
        <w:t>执行概要</w:t>
      </w:r>
      <w:bookmarkEnd w:id="4"/>
      <w:bookmarkEnd w:id="5"/>
      <w:bookmarkEnd w:id="6"/>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人兽共患病及新发传染病是全球公共卫生安全面临的重大威胁。过去几十年中，人类对动物产品的多元化消费需求不断增长，畜牧业的快速发展、动物产品的频繁贸易、野生动物的大量走私等因素，导致新发传染病特别是新发人兽共患病加速传播。近年来，世界各地出现的新发传染病75%源于动物，如严重急性呼吸道综合征（SARS）、尼帕、H7N9流感、埃博拉出血热、中东呼吸综合征（MERS）等。我国高度重视人兽共患病防治工作，新发突发人兽共患病防治工作取得重大成就。同时，受周边国家疫情重、边境传入渠道多，国内动物养殖主体多、流通频次高等多种因素影响，我国局部地区布鲁氏菌病有上升风险，狂犬病等人兽共患病仍未彻底消灭，对养殖业安全和公共卫生安全的威胁持续存在。把握新发展阶段、贯彻新发展理念、构建新发展格局，需要我们“从更好满足人民美好生活需要出发”，强化人兽共患病的预防、准备与应对能力建设。2020年世界银行启动了“预防、准备和应对新发传染病项目”，本项目为农业农村部所承担的子项目。</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本项目总投资合计</w:t>
      </w:r>
      <w:r>
        <w:rPr>
          <w:rFonts w:ascii="Times New Roman" w:hAnsi="Times New Roman" w:eastAsia="仿宋_GB2312"/>
          <w:b/>
          <w:bCs/>
          <w:sz w:val="32"/>
          <w:szCs w:val="32"/>
          <w:highlight w:val="none"/>
          <w:u w:val="single"/>
        </w:rPr>
        <w:t>600 万 USD</w:t>
      </w:r>
      <w:r>
        <w:rPr>
          <w:rFonts w:ascii="Times New Roman" w:hAnsi="Times New Roman" w:eastAsia="仿宋_GB2312"/>
          <w:sz w:val="32"/>
          <w:szCs w:val="32"/>
          <w:highlight w:val="none"/>
        </w:rPr>
        <w:t>（3900万元RMB，汇率1:6.5）。各子项目规模如下：</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（1）提升实验室检测能力：</w:t>
      </w:r>
      <w:r>
        <w:rPr>
          <w:rFonts w:ascii="Times New Roman" w:hAnsi="Times New Roman" w:eastAsia="仿宋_GB2312"/>
          <w:b/>
          <w:bCs/>
          <w:sz w:val="32"/>
          <w:szCs w:val="32"/>
          <w:highlight w:val="none"/>
          <w:u w:val="single"/>
        </w:rPr>
        <w:t>230万USD</w:t>
      </w:r>
      <w:r>
        <w:rPr>
          <w:rFonts w:ascii="Times New Roman" w:hAnsi="Times New Roman" w:eastAsia="仿宋_GB2312"/>
          <w:sz w:val="32"/>
          <w:szCs w:val="32"/>
          <w:highlight w:val="none"/>
        </w:rPr>
        <w:t>（1495 万元 RMB）；</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（2）提升防控技术和产品创新研发能力：</w:t>
      </w:r>
      <w:r>
        <w:rPr>
          <w:rFonts w:ascii="Times New Roman" w:hAnsi="Times New Roman" w:eastAsia="仿宋_GB2312"/>
          <w:b/>
          <w:bCs/>
          <w:sz w:val="32"/>
          <w:szCs w:val="32"/>
          <w:highlight w:val="none"/>
          <w:u w:val="single"/>
        </w:rPr>
        <w:t>215万USD</w:t>
      </w:r>
      <w:r>
        <w:rPr>
          <w:rFonts w:ascii="Times New Roman" w:hAnsi="Times New Roman" w:eastAsia="仿宋_GB2312"/>
          <w:sz w:val="32"/>
          <w:szCs w:val="32"/>
          <w:highlight w:val="none"/>
        </w:rPr>
        <w:t>（1397.5 万元 RMB）；</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（3）提升人才队伍建设能力：</w:t>
      </w:r>
      <w:r>
        <w:rPr>
          <w:rFonts w:ascii="Times New Roman" w:hAnsi="Times New Roman" w:eastAsia="仿宋_GB2312"/>
          <w:b/>
          <w:bCs/>
          <w:sz w:val="32"/>
          <w:szCs w:val="32"/>
          <w:highlight w:val="none"/>
          <w:u w:val="single"/>
        </w:rPr>
        <w:t>100万USD</w:t>
      </w:r>
      <w:r>
        <w:rPr>
          <w:rFonts w:ascii="Times New Roman" w:hAnsi="Times New Roman" w:eastAsia="仿宋_GB2312"/>
          <w:sz w:val="32"/>
          <w:szCs w:val="32"/>
          <w:highlight w:val="none"/>
        </w:rPr>
        <w:t>（650万元 RMB）；</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（4）项目管理及监测评估：</w:t>
      </w:r>
      <w:r>
        <w:rPr>
          <w:rFonts w:ascii="Times New Roman" w:hAnsi="Times New Roman" w:eastAsia="仿宋_GB2312"/>
          <w:b/>
          <w:bCs/>
          <w:sz w:val="32"/>
          <w:szCs w:val="32"/>
          <w:highlight w:val="none"/>
          <w:u w:val="single"/>
        </w:rPr>
        <w:t>49万USD</w:t>
      </w:r>
      <w:r>
        <w:rPr>
          <w:rFonts w:ascii="Times New Roman" w:hAnsi="Times New Roman" w:eastAsia="仿宋_GB2312"/>
          <w:sz w:val="32"/>
          <w:szCs w:val="32"/>
          <w:highlight w:val="none"/>
        </w:rPr>
        <w:t>（318.5万元 RMB）。</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基本预备费</w:t>
      </w:r>
      <w:r>
        <w:rPr>
          <w:rFonts w:ascii="Times New Roman" w:hAnsi="Times New Roman" w:eastAsia="仿宋_GB2312"/>
          <w:sz w:val="32"/>
          <w:szCs w:val="32"/>
          <w:highlight w:val="none"/>
        </w:rPr>
        <w:t>：</w:t>
      </w:r>
      <w:r>
        <w:rPr>
          <w:rFonts w:hint="eastAsia" w:ascii="Times New Roman" w:hAnsi="Times New Roman" w:eastAsia="仿宋_GB2312"/>
          <w:b/>
          <w:bCs/>
          <w:sz w:val="32"/>
          <w:szCs w:val="32"/>
          <w:highlight w:val="none"/>
          <w:u w:val="single"/>
        </w:rPr>
        <w:t>6</w:t>
      </w:r>
      <w:r>
        <w:rPr>
          <w:rFonts w:ascii="Times New Roman" w:hAnsi="Times New Roman" w:eastAsia="仿宋_GB2312"/>
          <w:b/>
          <w:bCs/>
          <w:sz w:val="32"/>
          <w:szCs w:val="32"/>
          <w:highlight w:val="none"/>
          <w:u w:val="single"/>
        </w:rPr>
        <w:t>万USD</w:t>
      </w: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rPr>
        <w:t>9</w:t>
      </w:r>
      <w:r>
        <w:rPr>
          <w:rFonts w:ascii="Times New Roman" w:hAnsi="Times New Roman" w:eastAsia="仿宋_GB2312"/>
          <w:sz w:val="32"/>
          <w:szCs w:val="32"/>
          <w:highlight w:val="none"/>
        </w:rPr>
        <w:t>万元 RMB）。</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虽然可行性研究报告已经确定了项目活动的大致类型和规模，但子项目活动的具体位置、规模和设计将在项目实施阶段进一步明确，因此，制定《环境和社会管理框架(ESMF)》（以下简称本框架）作为项目环境与社会风险和影响管理工具。本框架的编制遵循了世界银行《环境与社会框架》（ESF）以及中国国内法律法规体系的要求，为项目活动的环境与社会风险管理提供了一整套程序和内容要求，项目实施过程中，各个子项目活动从环境和社会风险识别、筛选和分类、环境与社会管理文件的准备、审批、实施、监测与报告、利益相关方参与等均需要按照本框架的要求进行管理。本框架的重点内容包括：</w:t>
      </w:r>
    </w:p>
    <w:p>
      <w:pPr>
        <w:widowControl/>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环境和社会影响、风险初步分析</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项目活动的最终目的是打造人类健康共同体、构建人类命运共同体，仍有可能存在不同程度的潜在环境与社会风险和影响。其中潜在的环境风险可能包括运营期带来的噪声、废水、废气、固废，检测人员操作不当带来的职业健康和安全风险以及研究成果中的相关建议后期付诸实施可能会导致潜在的下游活动造成环境和社会风险。潜在的社会风险还可能包括各利益相关者参与不充分而导致弱势群体被项目排除在外的风险。</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综合分析，本项目的环境与社会活动的风险和影响包括“中等风险”和“低风险”等各种水平。考虑到项目编制的各项发展战略和规划方案在未来实施过程中可能产生直接或间接的下游社会和环境影响，</w:t>
      </w:r>
      <w:r>
        <w:rPr>
          <w:rFonts w:ascii="Times New Roman" w:hAnsi="Times New Roman" w:eastAsia="仿宋_GB2312"/>
          <w:b/>
          <w:bCs/>
          <w:sz w:val="32"/>
          <w:szCs w:val="32"/>
          <w:highlight w:val="none"/>
        </w:rPr>
        <w:t>因此判定本项目属于“较高风险（Substantial）”</w:t>
      </w:r>
      <w:r>
        <w:rPr>
          <w:rFonts w:ascii="Times New Roman" w:hAnsi="Times New Roman" w:eastAsia="仿宋_GB2312"/>
          <w:sz w:val="32"/>
          <w:szCs w:val="32"/>
          <w:highlight w:val="none"/>
        </w:rPr>
        <w:t>。各项活动具体详细的环境与社会影响分析将在实施阶段按照本框架规定的程序和要求，针对特定的活动开展专门的筛选、评估，并准备相应的文件。</w:t>
      </w:r>
    </w:p>
    <w:p>
      <w:pPr>
        <w:widowControl/>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环境和社会风险管理程序</w:t>
      </w:r>
    </w:p>
    <w:p>
      <w:pPr>
        <w:pStyle w:val="64"/>
        <w:widowControl/>
        <w:snapToGrid w:val="0"/>
        <w:spacing w:line="360" w:lineRule="auto"/>
        <w:ind w:firstLineChars="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本框架针对后续实施的子项目的环境和社会管理程序，根据活动类型和具体内容，在后续子项目的实施全过程中开展针对性的环境社会管理，程序涵盖筛选、准备、审批、实施监测、完工总结等各个项目阶段。</w:t>
      </w:r>
    </w:p>
    <w:p>
      <w:pPr>
        <w:widowControl/>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利益相关方参与计划</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项目编制了单独的《利益相关方参与计划》（SEP），该计划分析识别了主要利益相关方（包括弱势群体）的需求，拟定了信息披露和磋商计划，明确了资源安排，制定了抱怨申诉机制。</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及项目专家组将确保《利益相关方参与计划》在项目生命周期内得以实施。本《环境和社会管理框架》（ESMF）在第6章节综述了SEP的主要内容。</w:t>
      </w:r>
    </w:p>
    <w:p>
      <w:pPr>
        <w:widowControl/>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能力建设计划</w:t>
      </w:r>
    </w:p>
    <w:p>
      <w:pPr>
        <w:widowControl/>
        <w:snapToGrid w:val="0"/>
        <w:spacing w:line="360" w:lineRule="auto"/>
        <w:ind w:firstLine="640" w:firstLineChars="200"/>
        <w:rPr>
          <w:rFonts w:ascii="Times New Roman" w:hAnsi="Times New Roman" w:eastAsia="微软雅黑 Light"/>
          <w:sz w:val="24"/>
          <w:szCs w:val="24"/>
          <w:highlight w:val="none"/>
        </w:rPr>
      </w:pPr>
      <w:r>
        <w:rPr>
          <w:rFonts w:ascii="Times New Roman" w:hAnsi="Times New Roman" w:eastAsia="仿宋_GB2312"/>
          <w:sz w:val="32"/>
          <w:szCs w:val="32"/>
          <w:highlight w:val="none"/>
        </w:rPr>
        <w:t>本框架制定了涵盖项目办、实施单位、社区等众多受众的能力建设培训计划，以提高项目实施过程中环境与社会管理绩效表现。</w:t>
      </w:r>
      <w:r>
        <w:rPr>
          <w:rFonts w:ascii="Times New Roman" w:hAnsi="Times New Roman" w:eastAsia="微软雅黑 Light"/>
          <w:sz w:val="24"/>
          <w:szCs w:val="24"/>
          <w:highlight w:val="none"/>
        </w:rPr>
        <w:br w:type="page"/>
      </w:r>
    </w:p>
    <w:p>
      <w:pPr>
        <w:snapToGrid w:val="0"/>
        <w:spacing w:line="520" w:lineRule="exact"/>
        <w:jc w:val="center"/>
        <w:outlineLvl w:val="0"/>
        <w:rPr>
          <w:rFonts w:ascii="Times New Roman" w:hAnsi="Times New Roman" w:eastAsia="黑体"/>
          <w:sz w:val="44"/>
          <w:szCs w:val="44"/>
          <w:highlight w:val="none"/>
        </w:rPr>
      </w:pPr>
      <w:bookmarkStart w:id="7" w:name="_Toc7072"/>
      <w:bookmarkStart w:id="8" w:name="_Toc394298123"/>
      <w:bookmarkStart w:id="9" w:name="_Toc65772947"/>
      <w:bookmarkStart w:id="10" w:name="_Toc26776"/>
    </w:p>
    <w:p>
      <w:pPr>
        <w:snapToGrid w:val="0"/>
        <w:spacing w:line="520" w:lineRule="exact"/>
        <w:jc w:val="center"/>
        <w:outlineLvl w:val="0"/>
        <w:rPr>
          <w:rFonts w:ascii="Times New Roman" w:hAnsi="Times New Roman" w:eastAsia="黑体"/>
          <w:sz w:val="44"/>
          <w:szCs w:val="44"/>
          <w:highlight w:val="none"/>
        </w:rPr>
      </w:pPr>
      <w:r>
        <w:rPr>
          <w:rFonts w:ascii="Times New Roman" w:hAnsi="Times New Roman" w:eastAsia="黑体"/>
          <w:sz w:val="44"/>
          <w:szCs w:val="44"/>
          <w:highlight w:val="none"/>
        </w:rPr>
        <w:t>缩略词</w:t>
      </w:r>
      <w:bookmarkEnd w:id="7"/>
      <w:bookmarkEnd w:id="8"/>
      <w:bookmarkEnd w:id="9"/>
      <w:bookmarkEnd w:id="10"/>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tbl>
      <w:tblPr>
        <w:tblStyle w:val="29"/>
        <w:tblW w:w="0" w:type="auto"/>
        <w:tblInd w:w="0" w:type="dxa"/>
        <w:tblLayout w:type="autofit"/>
        <w:tblCellMar>
          <w:top w:w="0" w:type="dxa"/>
          <w:left w:w="108" w:type="dxa"/>
          <w:bottom w:w="0" w:type="dxa"/>
          <w:right w:w="108" w:type="dxa"/>
        </w:tblCellMar>
      </w:tblPr>
      <w:tblGrid>
        <w:gridCol w:w="1271"/>
        <w:gridCol w:w="7013"/>
      </w:tblGrid>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E&amp;S</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环境与社会</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EIA</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环境影响评价</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EHSG</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世界银行集团环境、健康和安全指南</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ESCP</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环境与社会承诺计划</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ESF</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环境和社会框架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ESIA</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环境与社会影响评价</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ESMF</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环境和社会管理框架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ESSs</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环境与社会标准</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GIIP</w:t>
            </w:r>
          </w:p>
        </w:tc>
        <w:tc>
          <w:tcPr>
            <w:tcW w:w="7013" w:type="dxa"/>
          </w:tcPr>
          <w:p>
            <w:pPr>
              <w:widowControl/>
              <w:snapToGrid w:val="0"/>
              <w:spacing w:line="36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良好国际行业实践</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GRM</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申诉机制</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PIU</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项目实施机构</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M&amp;E</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监测和评估</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PMO</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项目管理办公室</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SEP</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利益相关方参与计划</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TA</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技术援助</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ToRs</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任务大纲</w:t>
            </w:r>
          </w:p>
        </w:tc>
      </w:tr>
      <w:tr>
        <w:tblPrEx>
          <w:tblCellMar>
            <w:top w:w="0" w:type="dxa"/>
            <w:left w:w="108" w:type="dxa"/>
            <w:bottom w:w="0" w:type="dxa"/>
            <w:right w:w="108" w:type="dxa"/>
          </w:tblCellMar>
        </w:tblPrEx>
        <w:trPr>
          <w:trHeight w:val="567" w:hRule="exact"/>
        </w:trPr>
        <w:tc>
          <w:tcPr>
            <w:tcW w:w="1271" w:type="dxa"/>
          </w:tcPr>
          <w:p>
            <w:pPr>
              <w:widowControl/>
              <w:snapToGrid w:val="0"/>
              <w:spacing w:line="360" w:lineRule="auto"/>
              <w:jc w:val="left"/>
              <w:rPr>
                <w:rFonts w:ascii="Times New Roman" w:hAnsi="Times New Roman" w:eastAsia="仿宋_GB2312"/>
                <w:bCs/>
                <w:kern w:val="0"/>
                <w:sz w:val="32"/>
                <w:szCs w:val="32"/>
                <w:highlight w:val="none"/>
              </w:rPr>
            </w:pPr>
            <w:r>
              <w:rPr>
                <w:rFonts w:ascii="Times New Roman" w:hAnsi="Times New Roman" w:eastAsia="仿宋_GB2312"/>
                <w:bCs/>
                <w:kern w:val="0"/>
                <w:sz w:val="32"/>
                <w:szCs w:val="32"/>
                <w:highlight w:val="none"/>
              </w:rPr>
              <w:t>WBG</w:t>
            </w:r>
          </w:p>
        </w:tc>
        <w:tc>
          <w:tcPr>
            <w:tcW w:w="7013" w:type="dxa"/>
          </w:tcPr>
          <w:p>
            <w:pPr>
              <w:widowControl/>
              <w:snapToGrid w:val="0"/>
              <w:spacing w:line="360" w:lineRule="auto"/>
              <w:jc w:val="left"/>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世界银行</w:t>
            </w:r>
          </w:p>
        </w:tc>
      </w:tr>
    </w:tbl>
    <w:p>
      <w:pPr>
        <w:snapToGrid w:val="0"/>
        <w:spacing w:line="520" w:lineRule="exact"/>
        <w:rPr>
          <w:rFonts w:ascii="Times New Roman" w:hAnsi="Times New Roman" w:eastAsia="微软雅黑 Light"/>
          <w:sz w:val="24"/>
          <w:szCs w:val="24"/>
          <w:highlight w:val="none"/>
        </w:rPr>
      </w:pPr>
    </w:p>
    <w:p>
      <w:pPr>
        <w:snapToGrid w:val="0"/>
        <w:spacing w:line="520" w:lineRule="exact"/>
        <w:rPr>
          <w:rFonts w:ascii="Times New Roman" w:hAnsi="Times New Roman" w:eastAsia="微软雅黑 Light"/>
          <w:sz w:val="24"/>
          <w:szCs w:val="24"/>
          <w:highlight w:val="none"/>
        </w:rPr>
        <w:sectPr>
          <w:footerReference r:id="rId11" w:type="default"/>
          <w:pgSz w:w="11900" w:h="16838"/>
          <w:pgMar w:top="1440" w:right="1803" w:bottom="1440" w:left="1803" w:header="851" w:footer="992" w:gutter="0"/>
          <w:pgNumType w:start="1"/>
          <w:cols w:space="720" w:num="1"/>
          <w:docGrid w:type="lines" w:linePitch="319" w:charSpace="0"/>
        </w:sectPr>
      </w:pPr>
    </w:p>
    <w:p>
      <w:pPr>
        <w:pStyle w:val="3"/>
        <w:numPr>
          <w:ilvl w:val="0"/>
          <w:numId w:val="1"/>
        </w:numPr>
        <w:adjustRightInd w:val="0"/>
        <w:spacing w:before="0" w:after="0"/>
        <w:rPr>
          <w:rFonts w:ascii="Times New Roman" w:hAnsi="Times New Roman" w:eastAsia="黑体"/>
          <w:b w:val="0"/>
          <w:bCs w:val="0"/>
          <w:sz w:val="32"/>
          <w:szCs w:val="32"/>
          <w:highlight w:val="none"/>
        </w:rPr>
      </w:pPr>
      <w:bookmarkStart w:id="11" w:name="_Toc296523446"/>
      <w:r>
        <w:rPr>
          <w:rFonts w:ascii="Times New Roman" w:hAnsi="Times New Roman" w:eastAsia="黑体"/>
          <w:b w:val="0"/>
          <w:bCs w:val="0"/>
          <w:sz w:val="32"/>
          <w:szCs w:val="32"/>
          <w:highlight w:val="none"/>
        </w:rPr>
        <w:t>引言</w:t>
      </w:r>
      <w:bookmarkEnd w:id="11"/>
    </w:p>
    <w:p>
      <w:pPr>
        <w:pStyle w:val="4"/>
        <w:numPr>
          <w:ilvl w:val="1"/>
          <w:numId w:val="2"/>
        </w:numPr>
        <w:adjustRightInd w:val="0"/>
        <w:spacing w:before="0" w:after="0" w:line="360" w:lineRule="auto"/>
        <w:ind w:left="0" w:firstLine="0"/>
        <w:rPr>
          <w:rFonts w:ascii="Times New Roman" w:hAnsi="Times New Roman" w:eastAsia="楷体_GB2312"/>
          <w:bCs w:val="0"/>
          <w:highlight w:val="none"/>
        </w:rPr>
      </w:pPr>
      <w:bookmarkStart w:id="12" w:name="_Toc2070893046"/>
      <w:r>
        <w:rPr>
          <w:rFonts w:ascii="Times New Roman" w:hAnsi="Times New Roman" w:eastAsia="楷体_GB2312"/>
          <w:bCs w:val="0"/>
          <w:highlight w:val="none"/>
        </w:rPr>
        <w:t xml:space="preserve"> 项目背景</w:t>
      </w:r>
      <w:bookmarkEnd w:id="12"/>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人兽共患病及新发传染病是全球公共卫生安全面临的重大威胁。过去几十年中，人类对动物产品的多元化消费需求不断增长，畜牧业的快速发展、动物产品的频繁贸易、野生动物的大量走私等因素，导致新发传染病特别是新发人兽共患病加速传播。近年来，世界各地出现的新发传染病75%源于动物，如严重急性呼吸道综合征（SARS）、尼帕、H7N9流感、埃博拉出血热、中东呼吸综合征（MERS）等。联合国发布报告指出，全球每年约有25亿人兽共患病新发病例，造成至少220万人死亡，中低收入国家情况尤甚。人兽共患病及新发传染病的暴发将导致的经济损失严重。例如，H5N1高致病性禽流感（HPAI）2003年在东南亚暴发以来，造成的直接经济损失远远超过200亿美元，若算上动物产品价值链、贸易和旅游业等间接经济损失，上述数字还会成倍增加。在东亚和加拿大暴发的SARS导致了约415亿美元的损失。贫困人口和其他弱势群体往往付出更高代价。</w:t>
      </w:r>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我国高度重视人兽共患病防治工作，新发突发人兽共患病防治工作取得重大成就。同时，受周边国家疫情重、边境传入渠道多，国内动物养殖主体多、流通频次高等多种因素影响，我国局部地区布鲁氏菌病有上升风险，狂犬病等人兽共患病仍未彻底消灭，对养殖业安全和公共卫生安全的威胁持续存在。把握新发展阶段、贯彻新发展理念、构建新发展格局，需要我们“从更好满足人民美好生活需要出发”，强化人兽共患病的预防、准备与应对能力建设。</w:t>
      </w:r>
    </w:p>
    <w:p>
      <w:pPr>
        <w:pStyle w:val="4"/>
        <w:numPr>
          <w:ilvl w:val="1"/>
          <w:numId w:val="2"/>
        </w:numPr>
        <w:adjustRightInd w:val="0"/>
        <w:spacing w:before="0" w:after="0" w:line="360" w:lineRule="auto"/>
        <w:ind w:left="0" w:firstLine="0"/>
        <w:rPr>
          <w:rFonts w:ascii="Times New Roman" w:hAnsi="Times New Roman" w:eastAsia="楷体_GB2312"/>
          <w:bCs w:val="0"/>
          <w:highlight w:val="none"/>
        </w:rPr>
      </w:pPr>
      <w:bookmarkStart w:id="13" w:name="_Toc51249065"/>
      <w:bookmarkEnd w:id="13"/>
      <w:bookmarkStart w:id="14" w:name="_Toc50324706"/>
      <w:bookmarkEnd w:id="14"/>
      <w:bookmarkStart w:id="15" w:name="_Toc50325835"/>
      <w:bookmarkEnd w:id="15"/>
      <w:bookmarkStart w:id="16" w:name="_Toc51248951"/>
      <w:bookmarkEnd w:id="16"/>
      <w:bookmarkStart w:id="17" w:name="_Toc51248565"/>
      <w:bookmarkEnd w:id="17"/>
      <w:bookmarkStart w:id="18" w:name="_Toc1467778342"/>
      <w:r>
        <w:rPr>
          <w:rFonts w:ascii="Times New Roman" w:hAnsi="Times New Roman" w:eastAsia="楷体_GB2312"/>
          <w:bCs w:val="0"/>
          <w:highlight w:val="none"/>
        </w:rPr>
        <w:t xml:space="preserve"> 项目描述</w:t>
      </w:r>
      <w:bookmarkEnd w:id="18"/>
    </w:p>
    <w:p>
      <w:pPr>
        <w:pStyle w:val="5"/>
        <w:adjustRightInd w:val="0"/>
        <w:spacing w:before="0" w:after="0" w:line="360" w:lineRule="auto"/>
        <w:rPr>
          <w:rFonts w:ascii="Times New Roman" w:hAnsi="Times New Roman" w:eastAsia="仿宋_GB2312"/>
          <w:szCs w:val="32"/>
          <w:highlight w:val="none"/>
        </w:rPr>
      </w:pPr>
      <w:bookmarkStart w:id="19" w:name="_Toc371305349"/>
      <w:bookmarkStart w:id="20" w:name="_Toc100325938"/>
      <w:r>
        <w:rPr>
          <w:rFonts w:ascii="Times New Roman" w:hAnsi="Times New Roman" w:eastAsia="仿宋_GB2312"/>
          <w:szCs w:val="32"/>
          <w:highlight w:val="none"/>
        </w:rPr>
        <w:t>1.2.1 项目名称</w:t>
      </w:r>
      <w:bookmarkEnd w:id="19"/>
      <w:bookmarkEnd w:id="20"/>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世界银行“预防、准备与应对新发传染病项目”农业农村部子项目。</w:t>
      </w:r>
    </w:p>
    <w:p>
      <w:pPr>
        <w:pStyle w:val="5"/>
        <w:adjustRightInd w:val="0"/>
        <w:spacing w:before="0" w:after="0" w:line="360" w:lineRule="auto"/>
        <w:rPr>
          <w:rFonts w:ascii="Times New Roman" w:hAnsi="Times New Roman" w:eastAsia="仿宋_GB2312"/>
          <w:szCs w:val="32"/>
          <w:highlight w:val="none"/>
        </w:rPr>
      </w:pPr>
      <w:bookmarkStart w:id="21" w:name="_Toc100325939"/>
      <w:bookmarkStart w:id="22" w:name="_Toc1599976647"/>
      <w:r>
        <w:rPr>
          <w:rFonts w:ascii="Times New Roman" w:hAnsi="Times New Roman" w:eastAsia="仿宋_GB2312"/>
          <w:szCs w:val="32"/>
          <w:highlight w:val="none"/>
        </w:rPr>
        <w:t>1.2.2 执行机构</w:t>
      </w:r>
      <w:bookmarkEnd w:id="21"/>
      <w:bookmarkEnd w:id="22"/>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中国动物卫生与流行病学中心。</w:t>
      </w:r>
    </w:p>
    <w:p>
      <w:pPr>
        <w:pStyle w:val="5"/>
        <w:adjustRightInd w:val="0"/>
        <w:spacing w:before="0" w:after="0" w:line="360" w:lineRule="auto"/>
        <w:rPr>
          <w:rFonts w:ascii="Times New Roman" w:hAnsi="Times New Roman" w:eastAsia="仿宋_GB2312"/>
          <w:szCs w:val="32"/>
          <w:highlight w:val="none"/>
        </w:rPr>
      </w:pPr>
      <w:bookmarkStart w:id="23" w:name="_Toc100325940"/>
      <w:bookmarkStart w:id="24" w:name="_Toc1644931025"/>
      <w:r>
        <w:rPr>
          <w:rFonts w:ascii="Times New Roman" w:hAnsi="Times New Roman" w:eastAsia="仿宋_GB2312"/>
          <w:szCs w:val="32"/>
          <w:highlight w:val="none"/>
        </w:rPr>
        <w:t>1.2.3 建设目标</w:t>
      </w:r>
      <w:bookmarkEnd w:id="23"/>
      <w:bookmarkEnd w:id="24"/>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是世界银行“预防、准备与应对新发传染病项目”中农业农村部承担的子项目。该项目建设目的在于：提升实验室检测能力，创新技术产品研发，改进风险沟通和宣传教育，加强人员能力建设，增强防控人兽共患病技术支撑能力。</w:t>
      </w:r>
    </w:p>
    <w:p>
      <w:pPr>
        <w:adjustRightInd w:val="0"/>
        <w:spacing w:line="360" w:lineRule="auto"/>
        <w:ind w:firstLine="643" w:firstLineChars="200"/>
        <w:rPr>
          <w:rFonts w:ascii="Times New Roman" w:hAnsi="Times New Roman" w:eastAsia="仿宋_GB2312"/>
          <w:kern w:val="0"/>
          <w:sz w:val="32"/>
          <w:szCs w:val="32"/>
          <w:highlight w:val="none"/>
        </w:rPr>
      </w:pPr>
      <w:r>
        <w:rPr>
          <w:rFonts w:ascii="Times New Roman" w:hAnsi="Times New Roman" w:eastAsia="仿宋_GB2312"/>
          <w:b/>
          <w:kern w:val="0"/>
          <w:sz w:val="32"/>
          <w:szCs w:val="32"/>
          <w:highlight w:val="none"/>
        </w:rPr>
        <w:t>第一个领域为</w:t>
      </w:r>
      <w:r>
        <w:rPr>
          <w:rFonts w:ascii="Times New Roman" w:hAnsi="Times New Roman" w:eastAsia="仿宋_GB2312"/>
          <w:kern w:val="0"/>
          <w:sz w:val="32"/>
          <w:szCs w:val="32"/>
          <w:highlight w:val="none"/>
        </w:rPr>
        <w:t>：提升实验室检测能力。对应的建设目标为：（1）提升人兽共患病实验室的检测能力；（2）提升新发病检测能力。</w:t>
      </w:r>
    </w:p>
    <w:p>
      <w:pPr>
        <w:adjustRightInd w:val="0"/>
        <w:spacing w:line="360" w:lineRule="auto"/>
        <w:ind w:firstLine="643" w:firstLineChars="200"/>
        <w:rPr>
          <w:rFonts w:ascii="Times New Roman" w:hAnsi="Times New Roman" w:eastAsia="仿宋_GB2312"/>
          <w:kern w:val="0"/>
          <w:sz w:val="32"/>
          <w:szCs w:val="32"/>
          <w:highlight w:val="none"/>
        </w:rPr>
      </w:pPr>
      <w:r>
        <w:rPr>
          <w:rFonts w:ascii="Times New Roman" w:hAnsi="Times New Roman" w:eastAsia="仿宋_GB2312"/>
          <w:b/>
          <w:kern w:val="0"/>
          <w:sz w:val="32"/>
          <w:szCs w:val="32"/>
          <w:highlight w:val="none"/>
        </w:rPr>
        <w:t>第二个领域为</w:t>
      </w:r>
      <w:r>
        <w:rPr>
          <w:rFonts w:ascii="Times New Roman" w:hAnsi="Times New Roman" w:eastAsia="仿宋_GB2312"/>
          <w:kern w:val="0"/>
          <w:sz w:val="32"/>
          <w:szCs w:val="32"/>
          <w:highlight w:val="none"/>
        </w:rPr>
        <w:t>：提升防控技术和产品创新研发能力。对应的建设目标为：（1）开发风险沟通工具包；（2）开展布鲁氏菌病和狂犬病知信行调研；（3）开发新型检测技术及能力验证标准品。</w:t>
      </w:r>
    </w:p>
    <w:p>
      <w:pPr>
        <w:adjustRightInd w:val="0"/>
        <w:spacing w:line="360" w:lineRule="auto"/>
        <w:ind w:firstLine="643" w:firstLineChars="200"/>
        <w:rPr>
          <w:rFonts w:ascii="Times New Roman" w:hAnsi="Times New Roman" w:eastAsia="仿宋_GB2312"/>
          <w:kern w:val="0"/>
          <w:sz w:val="32"/>
          <w:szCs w:val="32"/>
          <w:highlight w:val="none"/>
        </w:rPr>
      </w:pPr>
      <w:r>
        <w:rPr>
          <w:rFonts w:ascii="Times New Roman" w:hAnsi="Times New Roman" w:eastAsia="仿宋_GB2312"/>
          <w:b/>
          <w:kern w:val="0"/>
          <w:sz w:val="32"/>
          <w:szCs w:val="32"/>
          <w:highlight w:val="none"/>
        </w:rPr>
        <w:t>第三个领域为</w:t>
      </w:r>
      <w:r>
        <w:rPr>
          <w:rFonts w:ascii="Times New Roman" w:hAnsi="Times New Roman" w:eastAsia="仿宋_GB2312"/>
          <w:kern w:val="0"/>
          <w:sz w:val="32"/>
          <w:szCs w:val="32"/>
          <w:highlight w:val="none"/>
        </w:rPr>
        <w:t>：提升人才队伍建设能力。对应的建设目标为：（1）开展人兽共患病国际防控经验总结；（2）编制布鲁氏菌病等人兽共患病风险评估技术指南；（3）开展替代饲养方式国际经验（案例）研究；（4）参加国际会议活动；（5）派员赴国外学习培训；（6）培训畜牧兽医机构人员（线下600人），相关行业从业人员（线下400人、线上5000人），以及公众科普（线上20000人）。</w:t>
      </w:r>
    </w:p>
    <w:p>
      <w:pPr>
        <w:pStyle w:val="5"/>
        <w:adjustRightInd w:val="0"/>
        <w:spacing w:before="0" w:after="0" w:line="360" w:lineRule="auto"/>
        <w:rPr>
          <w:rFonts w:ascii="Times New Roman" w:hAnsi="Times New Roman" w:eastAsia="仿宋_GB2312"/>
          <w:szCs w:val="32"/>
          <w:highlight w:val="none"/>
        </w:rPr>
      </w:pPr>
      <w:bookmarkStart w:id="25" w:name="_Toc1363907889"/>
      <w:bookmarkStart w:id="26" w:name="_Toc40642231"/>
      <w:bookmarkStart w:id="27" w:name="_Toc203325548"/>
      <w:bookmarkStart w:id="28" w:name="_Toc2054579732"/>
      <w:bookmarkStart w:id="29" w:name="_Toc2124442228"/>
      <w:bookmarkStart w:id="30" w:name="_Toc16170"/>
      <w:bookmarkStart w:id="31" w:name="_Toc1304231730"/>
      <w:bookmarkStart w:id="32" w:name="_Toc1279279266"/>
      <w:bookmarkStart w:id="33" w:name="_Toc1493817547"/>
      <w:bookmarkStart w:id="34" w:name="_Toc100325941"/>
      <w:bookmarkStart w:id="35" w:name="_Toc535055243"/>
      <w:bookmarkStart w:id="36" w:name="_Toc54776210"/>
      <w:r>
        <w:rPr>
          <w:rFonts w:ascii="Times New Roman" w:hAnsi="Times New Roman" w:eastAsia="仿宋_GB2312"/>
          <w:szCs w:val="32"/>
          <w:highlight w:val="none"/>
        </w:rPr>
        <w:t>1.2.4 实施内容</w:t>
      </w:r>
      <w:bookmarkEnd w:id="25"/>
      <w:bookmarkEnd w:id="26"/>
      <w:bookmarkEnd w:id="27"/>
      <w:bookmarkEnd w:id="28"/>
      <w:bookmarkEnd w:id="29"/>
      <w:bookmarkEnd w:id="30"/>
      <w:bookmarkEnd w:id="31"/>
      <w:bookmarkEnd w:id="32"/>
      <w:bookmarkEnd w:id="33"/>
      <w:bookmarkEnd w:id="34"/>
      <w:bookmarkEnd w:id="35"/>
      <w:bookmarkEnd w:id="36"/>
    </w:p>
    <w:p>
      <w:pPr>
        <w:adjustRightIn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习近平总书记关于生物安全的讲话精神，在世界银行“预防、准备与应对新发传染病项目”框架下，结合我国人兽共患病防控工作现状，本项目重点提升实验室检测能力，防控技术和产品创新研发能力，人才队伍建设能力，开展项目管理及监测评估。</w:t>
      </w:r>
      <w:bookmarkStart w:id="37" w:name="_Hlk65491157"/>
    </w:p>
    <w:p>
      <w:pPr>
        <w:adjustRightInd w:val="0"/>
        <w:spacing w:line="360" w:lineRule="auto"/>
        <w:ind w:firstLine="640" w:firstLineChars="200"/>
        <w:rPr>
          <w:rFonts w:ascii="Times New Roman" w:hAnsi="Times New Roman" w:eastAsia="宋体"/>
          <w:kern w:val="0"/>
          <w:sz w:val="24"/>
          <w:szCs w:val="24"/>
          <w:highlight w:val="none"/>
        </w:rPr>
        <w:sectPr>
          <w:footerReference r:id="rId12" w:type="default"/>
          <w:pgSz w:w="11900" w:h="16838"/>
          <w:pgMar w:top="1440" w:right="1803" w:bottom="1440" w:left="1803" w:header="851" w:footer="992" w:gutter="0"/>
          <w:pgNumType w:start="1"/>
          <w:cols w:space="720" w:num="1"/>
          <w:docGrid w:type="lines" w:linePitch="319" w:charSpace="0"/>
        </w:sectPr>
      </w:pPr>
      <w:r>
        <w:rPr>
          <w:rFonts w:ascii="Times New Roman" w:hAnsi="Times New Roman" w:eastAsia="仿宋_GB2312"/>
          <w:kern w:val="0"/>
          <w:sz w:val="32"/>
          <w:szCs w:val="32"/>
          <w:highlight w:val="none"/>
        </w:rPr>
        <w:t>具体项目活动见表1-1。</w:t>
      </w:r>
      <w:bookmarkEnd w:id="37"/>
    </w:p>
    <w:p>
      <w:pPr>
        <w:pStyle w:val="8"/>
        <w:snapToGrid w:val="0"/>
        <w:spacing w:line="520" w:lineRule="exact"/>
        <w:jc w:val="center"/>
        <w:rPr>
          <w:rFonts w:ascii="Times New Roman" w:hAnsi="Times New Roman"/>
          <w:sz w:val="28"/>
          <w:szCs w:val="28"/>
          <w:highlight w:val="none"/>
        </w:rPr>
      </w:pPr>
      <w:r>
        <w:rPr>
          <w:rFonts w:ascii="Times New Roman" w:hAnsi="Times New Roman"/>
          <w:sz w:val="28"/>
          <w:szCs w:val="28"/>
          <w:highlight w:val="none"/>
        </w:rPr>
        <w:t>表</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STYLEREF 1 \s </w:instrText>
      </w:r>
      <w:r>
        <w:rPr>
          <w:rFonts w:ascii="Times New Roman" w:hAnsi="Times New Roman"/>
          <w:sz w:val="28"/>
          <w:szCs w:val="28"/>
          <w:highlight w:val="none"/>
        </w:rPr>
        <w:fldChar w:fldCharType="separate"/>
      </w:r>
      <w:r>
        <w:rPr>
          <w:rFonts w:ascii="Times New Roman" w:hAnsi="Times New Roman"/>
          <w:sz w:val="28"/>
          <w:szCs w:val="28"/>
          <w:highlight w:val="none"/>
        </w:rPr>
        <w:t>1</w:t>
      </w:r>
      <w:r>
        <w:rPr>
          <w:rFonts w:ascii="Times New Roman" w:hAnsi="Times New Roman"/>
          <w:sz w:val="28"/>
          <w:szCs w:val="28"/>
          <w:highlight w:val="none"/>
        </w:rPr>
        <w:fldChar w:fldCharType="end"/>
      </w:r>
      <w:r>
        <w:rPr>
          <w:rFonts w:ascii="Times New Roman" w:hAnsi="Times New Roman"/>
          <w:sz w:val="28"/>
          <w:szCs w:val="28"/>
          <w:highlight w:val="none"/>
        </w:rPr>
        <w:t>-</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SEQ 表 \* ARABIC \s 1 </w:instrText>
      </w:r>
      <w:r>
        <w:rPr>
          <w:rFonts w:ascii="Times New Roman" w:hAnsi="Times New Roman"/>
          <w:sz w:val="28"/>
          <w:szCs w:val="28"/>
          <w:highlight w:val="none"/>
        </w:rPr>
        <w:fldChar w:fldCharType="separate"/>
      </w:r>
      <w:r>
        <w:rPr>
          <w:rFonts w:ascii="Times New Roman" w:hAnsi="Times New Roman"/>
          <w:sz w:val="28"/>
          <w:szCs w:val="28"/>
          <w:highlight w:val="none"/>
        </w:rPr>
        <w:t>1</w:t>
      </w:r>
      <w:r>
        <w:rPr>
          <w:rFonts w:ascii="Times New Roman" w:hAnsi="Times New Roman"/>
          <w:sz w:val="28"/>
          <w:szCs w:val="28"/>
          <w:highlight w:val="none"/>
        </w:rPr>
        <w:fldChar w:fldCharType="end"/>
      </w:r>
      <w:bookmarkStart w:id="38" w:name="_Toc16502"/>
      <w:r>
        <w:rPr>
          <w:rFonts w:ascii="Times New Roman" w:hAnsi="Times New Roman"/>
          <w:sz w:val="28"/>
          <w:szCs w:val="28"/>
          <w:highlight w:val="none"/>
        </w:rPr>
        <w:t xml:space="preserve"> 项目活动表</w:t>
      </w:r>
      <w:bookmarkEnd w:id="38"/>
    </w:p>
    <w:p>
      <w:pPr>
        <w:jc w:val="right"/>
        <w:rPr>
          <w:rFonts w:ascii="Times New Roman" w:hAnsi="Times New Roman" w:eastAsia="微软雅黑 Light"/>
          <w:sz w:val="24"/>
          <w:szCs w:val="24"/>
          <w:highlight w:val="none"/>
        </w:rPr>
      </w:pPr>
      <w:r>
        <w:rPr>
          <w:rFonts w:ascii="Times New Roman" w:hAnsi="Times New Roman" w:eastAsia="仿宋_GB2312"/>
          <w:sz w:val="24"/>
          <w:szCs w:val="24"/>
          <w:highlight w:val="none"/>
        </w:rPr>
        <w:t>单位：万美元</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84"/>
        <w:gridCol w:w="3609"/>
        <w:gridCol w:w="1656"/>
        <w:gridCol w:w="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92" w:type="pct"/>
            <w:shd w:val="clear" w:color="auto" w:fill="auto"/>
            <w:vAlign w:val="center"/>
          </w:tcPr>
          <w:p>
            <w:pPr>
              <w:jc w:val="center"/>
              <w:rPr>
                <w:rFonts w:ascii="Times New Roman" w:hAnsi="Times New Roman" w:eastAsia="黑体"/>
                <w:sz w:val="24"/>
                <w:szCs w:val="24"/>
                <w:highlight w:val="none"/>
              </w:rPr>
            </w:pPr>
            <w:r>
              <w:rPr>
                <w:rFonts w:ascii="Times New Roman" w:hAnsi="Times New Roman" w:eastAsia="黑体"/>
                <w:sz w:val="24"/>
                <w:szCs w:val="24"/>
                <w:highlight w:val="none"/>
              </w:rPr>
              <w:t>子项目</w:t>
            </w:r>
          </w:p>
        </w:tc>
        <w:tc>
          <w:tcPr>
            <w:tcW w:w="2253" w:type="pct"/>
            <w:shd w:val="clear" w:color="auto" w:fill="auto"/>
            <w:vAlign w:val="center"/>
          </w:tcPr>
          <w:p>
            <w:pPr>
              <w:jc w:val="center"/>
              <w:rPr>
                <w:rFonts w:ascii="Times New Roman" w:hAnsi="Times New Roman" w:eastAsia="黑体"/>
                <w:sz w:val="24"/>
                <w:szCs w:val="24"/>
                <w:highlight w:val="none"/>
              </w:rPr>
            </w:pPr>
            <w:r>
              <w:rPr>
                <w:rFonts w:ascii="Times New Roman" w:hAnsi="Times New Roman" w:eastAsia="黑体"/>
                <w:sz w:val="24"/>
                <w:szCs w:val="24"/>
                <w:highlight w:val="none"/>
              </w:rPr>
              <w:t>项目内容</w:t>
            </w:r>
          </w:p>
        </w:tc>
        <w:tc>
          <w:tcPr>
            <w:tcW w:w="577" w:type="pct"/>
            <w:shd w:val="clear" w:color="auto" w:fill="auto"/>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投资</w:t>
            </w:r>
          </w:p>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类型</w:t>
            </w:r>
          </w:p>
        </w:tc>
        <w:tc>
          <w:tcPr>
            <w:tcW w:w="577" w:type="pct"/>
            <w:shd w:val="clear" w:color="auto" w:fill="auto"/>
            <w:vAlign w:val="center"/>
          </w:tcPr>
          <w:p>
            <w:pPr>
              <w:jc w:val="center"/>
              <w:rPr>
                <w:rFonts w:ascii="Times New Roman" w:hAnsi="Times New Roman" w:eastAsia="黑体"/>
                <w:sz w:val="24"/>
                <w:szCs w:val="24"/>
                <w:highlight w:val="none"/>
              </w:rPr>
            </w:pPr>
            <w:r>
              <w:rPr>
                <w:rFonts w:ascii="Times New Roman" w:hAnsi="Times New Roman" w:eastAsia="黑体"/>
                <w:sz w:val="24"/>
                <w:szCs w:val="24"/>
                <w:highlight w:val="none"/>
              </w:rPr>
              <w:t>项目</w:t>
            </w:r>
          </w:p>
          <w:p>
            <w:pPr>
              <w:jc w:val="center"/>
              <w:rPr>
                <w:rFonts w:ascii="Times New Roman" w:hAnsi="Times New Roman" w:eastAsia="黑体"/>
                <w:sz w:val="24"/>
                <w:szCs w:val="24"/>
                <w:highlight w:val="none"/>
              </w:rPr>
            </w:pPr>
            <w:r>
              <w:rPr>
                <w:rFonts w:ascii="Times New Roman" w:hAnsi="Times New Roman" w:eastAsia="黑体"/>
                <w:sz w:val="24"/>
                <w:szCs w:val="24"/>
                <w:highlight w:val="none"/>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子项目1：</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提升实验室检测能力（230万USD）</w:t>
            </w: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1.1 提升人兽共患病实验室检测能力</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实验设备购置</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1.2 提升新发病检测能力</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实验设备购置</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子项目2:</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针对重点人兽共患病和其他健康威胁的防控计划（215万USD）</w:t>
            </w: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2.1开发风险沟通工具包</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课题研究</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2.2开展布鲁氏菌病和狂犬病知信行调研</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课题研究</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2.3研发新型检测技术及能力验证标准品</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课题研究</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restar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子项目3:</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提升人才队伍建设能力（100万USD）</w:t>
            </w: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3.1 开展人兽共患病国际防控经验总结</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人员培训</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3.2 编制人兽共患病风险评估技术指南</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人员培训</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3.3 开展替代饲养方式国际经验（案例）研究</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人员培训</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3.4技术人员培训及交流</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人员培训</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2" w:type="pct"/>
            <w:vMerge w:val="continue"/>
            <w:shd w:val="clear" w:color="auto" w:fill="auto"/>
            <w:vAlign w:val="center"/>
          </w:tcPr>
          <w:p>
            <w:pPr>
              <w:rPr>
                <w:rFonts w:ascii="Times New Roman" w:hAnsi="Times New Roman" w:eastAsia="仿宋_GB2312"/>
                <w:sz w:val="24"/>
                <w:szCs w:val="24"/>
                <w:highlight w:val="none"/>
              </w:rPr>
            </w:pP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3.5公众科普教育</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人员培训</w:t>
            </w:r>
          </w:p>
        </w:tc>
        <w:tc>
          <w:tcPr>
            <w:tcW w:w="577" w:type="pct"/>
            <w:shd w:val="clear" w:color="auto" w:fill="auto"/>
            <w:noWrap/>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592"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子项目4:</w:t>
            </w:r>
          </w:p>
          <w:p>
            <w:pPr>
              <w:rPr>
                <w:rFonts w:ascii="Times New Roman" w:hAnsi="Times New Roman" w:eastAsia="仿宋_GB2312"/>
                <w:sz w:val="24"/>
                <w:szCs w:val="24"/>
                <w:highlight w:val="none"/>
              </w:rPr>
            </w:pPr>
            <w:r>
              <w:rPr>
                <w:rFonts w:ascii="Times New Roman" w:hAnsi="Times New Roman" w:eastAsia="仿宋_GB2312"/>
                <w:sz w:val="24"/>
                <w:szCs w:val="24"/>
                <w:highlight w:val="none"/>
              </w:rPr>
              <w:t>项目管理及监测评估（49万USD）</w:t>
            </w:r>
          </w:p>
        </w:tc>
        <w:tc>
          <w:tcPr>
            <w:tcW w:w="2253" w:type="pct"/>
            <w:shd w:val="clear" w:color="auto" w:fill="auto"/>
            <w:vAlign w:val="center"/>
          </w:tcPr>
          <w:p>
            <w:pPr>
              <w:rPr>
                <w:rFonts w:ascii="Times New Roman" w:hAnsi="Times New Roman" w:eastAsia="仿宋_GB2312"/>
                <w:sz w:val="24"/>
                <w:szCs w:val="24"/>
                <w:highlight w:val="none"/>
              </w:rPr>
            </w:pPr>
            <w:r>
              <w:rPr>
                <w:rFonts w:ascii="Times New Roman" w:hAnsi="Times New Roman" w:eastAsia="仿宋_GB2312"/>
                <w:sz w:val="24"/>
                <w:szCs w:val="24"/>
                <w:highlight w:val="none"/>
              </w:rPr>
              <w:t>对整个项目周期运作进行管理及监测评估</w:t>
            </w:r>
          </w:p>
        </w:tc>
        <w:tc>
          <w:tcPr>
            <w:tcW w:w="577" w:type="pct"/>
            <w:shd w:val="clear" w:color="auto" w:fill="auto"/>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其他</w:t>
            </w:r>
          </w:p>
        </w:tc>
        <w:tc>
          <w:tcPr>
            <w:tcW w:w="577" w:type="pct"/>
            <w:shd w:val="clear" w:color="auto" w:fill="auto"/>
            <w:vAlign w:val="center"/>
          </w:tcPr>
          <w:p>
            <w:pPr>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49</w:t>
            </w:r>
          </w:p>
        </w:tc>
      </w:tr>
    </w:tbl>
    <w:p>
      <w:pPr>
        <w:snapToGrid w:val="0"/>
        <w:spacing w:line="360" w:lineRule="auto"/>
        <w:ind w:firstLine="640" w:firstLineChars="200"/>
        <w:rPr>
          <w:rFonts w:ascii="Times New Roman" w:hAnsi="Times New Roman" w:eastAsia="仿宋_GB2312"/>
          <w:sz w:val="32"/>
          <w:szCs w:val="32"/>
          <w:highlight w:val="none"/>
        </w:rPr>
      </w:pPr>
    </w:p>
    <w:p>
      <w:pPr>
        <w:adjustRightInd w:val="0"/>
        <w:snapToGrid w:val="0"/>
        <w:spacing w:line="360" w:lineRule="auto"/>
        <w:ind w:firstLine="643" w:firstLineChars="200"/>
        <w:rPr>
          <w:rFonts w:ascii="Times New Roman" w:hAnsi="Times New Roman" w:eastAsia="仿宋_GB2312"/>
          <w:b/>
          <w:sz w:val="32"/>
          <w:szCs w:val="32"/>
          <w:highlight w:val="none"/>
        </w:rPr>
      </w:pPr>
      <w:r>
        <w:rPr>
          <w:rFonts w:ascii="Times New Roman" w:hAnsi="Times New Roman" w:eastAsia="仿宋_GB2312"/>
          <w:b/>
          <w:sz w:val="32"/>
          <w:szCs w:val="32"/>
          <w:highlight w:val="none"/>
        </w:rPr>
        <w:t>项目机构和实施安排</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世界银行“预防、准备与应对新发传染病项目”农业农村部子项目在农业农村部畜牧兽医局、计划财务司指导下执行，中国动物卫生与流行病学中心负责日常实施。项目还将吸纳相关科研机构和专家提供技术服务。</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项目管理办公室</w:t>
      </w:r>
      <w:r>
        <w:rPr>
          <w:rFonts w:ascii="Times New Roman" w:hAnsi="Times New Roman" w:eastAsia="仿宋_GB2312"/>
          <w:kern w:val="0"/>
          <w:sz w:val="32"/>
          <w:szCs w:val="32"/>
          <w:highlight w:val="none"/>
        </w:rPr>
        <w:t>设项目办主任、副主任及项目组成员，负责项目总体协调、编制报告、实施、管理和监测评估工作。</w:t>
      </w:r>
      <w:r>
        <w:rPr>
          <w:rFonts w:hint="eastAsia" w:ascii="Times New Roman" w:hAnsi="Times New Roman" w:eastAsia="仿宋_GB2312"/>
          <w:kern w:val="0"/>
          <w:sz w:val="32"/>
          <w:szCs w:val="32"/>
          <w:highlight w:val="none"/>
        </w:rPr>
        <w:t>项目管理办公室</w:t>
      </w:r>
      <w:r>
        <w:rPr>
          <w:rFonts w:ascii="Times New Roman" w:hAnsi="Times New Roman" w:eastAsia="仿宋_GB2312"/>
          <w:kern w:val="0"/>
          <w:sz w:val="32"/>
          <w:szCs w:val="32"/>
          <w:highlight w:val="none"/>
        </w:rPr>
        <w:t>负责指定项目账户，组织项目采购、签订采购合同，负责财务管理、</w:t>
      </w:r>
      <w:r>
        <w:rPr>
          <w:rFonts w:hint="eastAsia" w:ascii="Times New Roman" w:hAnsi="Times New Roman" w:eastAsia="仿宋_GB2312"/>
          <w:kern w:val="0"/>
          <w:sz w:val="32"/>
          <w:szCs w:val="32"/>
          <w:highlight w:val="none"/>
        </w:rPr>
        <w:t>环境社会风险管理</w:t>
      </w:r>
      <w:r>
        <w:rPr>
          <w:rFonts w:ascii="Times New Roman" w:hAnsi="Times New Roman" w:eastAsia="仿宋_GB2312"/>
          <w:kern w:val="0"/>
          <w:sz w:val="32"/>
          <w:szCs w:val="32"/>
          <w:highlight w:val="none"/>
        </w:rPr>
        <w:t>以及项目的监测评估，负责编制年度工作计划、采购计划和财务报告，组织培训和研讨会，协调、安排世界银行的督导检查等。</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项目专家组由动物疫病防控、畜牧技术推广、政策法规、国际合作、培训、招标采购、项目管理以及其他相关领域的专家组成，为项目实施提供全方位技术服务。</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根据项目目标和衡量指标以及建设单位的实际情况，项目实施期为3年，</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主要节点包括：</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项目协议签署（202</w:t>
      </w:r>
      <w:r>
        <w:rPr>
          <w:rFonts w:hint="default" w:ascii="Times New Roman" w:hAnsi="Times New Roman" w:eastAsia="仿宋_GB2312"/>
          <w:kern w:val="0"/>
          <w:sz w:val="32"/>
          <w:szCs w:val="32"/>
          <w:highlight w:val="none"/>
          <w:lang w:val="en"/>
        </w:rPr>
        <w:t>2</w:t>
      </w:r>
      <w:r>
        <w:rPr>
          <w:rFonts w:ascii="Times New Roman" w:hAnsi="Times New Roman" w:eastAsia="仿宋_GB2312"/>
          <w:kern w:val="0"/>
          <w:sz w:val="32"/>
          <w:szCs w:val="32"/>
          <w:highlight w:val="none"/>
        </w:rPr>
        <w:t>年6月）；</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项目生效（202</w:t>
      </w:r>
      <w:r>
        <w:rPr>
          <w:rFonts w:hint="default" w:ascii="Times New Roman" w:hAnsi="Times New Roman" w:eastAsia="仿宋_GB2312"/>
          <w:kern w:val="0"/>
          <w:sz w:val="32"/>
          <w:szCs w:val="32"/>
          <w:highlight w:val="none"/>
          <w:lang w:val="en"/>
        </w:rPr>
        <w:t>2</w:t>
      </w:r>
      <w:r>
        <w:rPr>
          <w:rFonts w:ascii="Times New Roman" w:hAnsi="Times New Roman" w:eastAsia="仿宋_GB2312"/>
          <w:kern w:val="0"/>
          <w:sz w:val="32"/>
          <w:szCs w:val="32"/>
          <w:highlight w:val="none"/>
        </w:rPr>
        <w:t>年9月）；</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项目启动（202</w:t>
      </w:r>
      <w:r>
        <w:rPr>
          <w:rFonts w:hint="default" w:ascii="Times New Roman" w:hAnsi="Times New Roman" w:eastAsia="仿宋_GB2312"/>
          <w:kern w:val="0"/>
          <w:sz w:val="32"/>
          <w:szCs w:val="32"/>
          <w:highlight w:val="none"/>
          <w:lang w:val="en"/>
        </w:rPr>
        <w:t>2</w:t>
      </w:r>
      <w:r>
        <w:rPr>
          <w:rFonts w:ascii="Times New Roman" w:hAnsi="Times New Roman" w:eastAsia="仿宋_GB2312"/>
          <w:kern w:val="0"/>
          <w:sz w:val="32"/>
          <w:szCs w:val="32"/>
          <w:highlight w:val="none"/>
        </w:rPr>
        <w:t>年11月）；</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项目建设（202</w:t>
      </w:r>
      <w:r>
        <w:rPr>
          <w:rFonts w:hint="default" w:ascii="Times New Roman" w:hAnsi="Times New Roman" w:eastAsia="仿宋_GB2312"/>
          <w:kern w:val="0"/>
          <w:sz w:val="32"/>
          <w:szCs w:val="32"/>
          <w:highlight w:val="none"/>
          <w:lang w:val="en"/>
        </w:rPr>
        <w:t>2</w:t>
      </w:r>
      <w:r>
        <w:rPr>
          <w:rFonts w:ascii="Times New Roman" w:hAnsi="Times New Roman" w:eastAsia="仿宋_GB2312"/>
          <w:kern w:val="0"/>
          <w:sz w:val="32"/>
          <w:szCs w:val="32"/>
          <w:highlight w:val="none"/>
        </w:rPr>
        <w:t>年—202</w:t>
      </w:r>
      <w:r>
        <w:rPr>
          <w:rFonts w:hint="default" w:ascii="Times New Roman" w:hAnsi="Times New Roman" w:eastAsia="仿宋_GB2312"/>
          <w:kern w:val="0"/>
          <w:sz w:val="32"/>
          <w:szCs w:val="32"/>
          <w:highlight w:val="none"/>
          <w:lang w:val="en"/>
        </w:rPr>
        <w:t>5</w:t>
      </w:r>
      <w:r>
        <w:rPr>
          <w:rFonts w:ascii="Times New Roman" w:hAnsi="Times New Roman" w:eastAsia="仿宋_GB2312"/>
          <w:kern w:val="0"/>
          <w:sz w:val="32"/>
          <w:szCs w:val="32"/>
          <w:highlight w:val="none"/>
        </w:rPr>
        <w:t>年）。</w:t>
      </w:r>
    </w:p>
    <w:p>
      <w:pPr>
        <w:pStyle w:val="4"/>
        <w:numPr>
          <w:ilvl w:val="1"/>
          <w:numId w:val="2"/>
        </w:numPr>
        <w:adjustRightInd w:val="0"/>
        <w:snapToGrid w:val="0"/>
        <w:spacing w:before="0" w:after="0" w:line="360" w:lineRule="auto"/>
        <w:ind w:left="0" w:firstLine="0"/>
        <w:rPr>
          <w:rFonts w:ascii="Times New Roman" w:hAnsi="Times New Roman" w:eastAsia="楷体_GB2312"/>
          <w:bCs w:val="0"/>
          <w:highlight w:val="none"/>
        </w:rPr>
      </w:pPr>
      <w:bookmarkStart w:id="39" w:name="_Toc419077469"/>
      <w:r>
        <w:rPr>
          <w:rFonts w:ascii="Times New Roman" w:hAnsi="Times New Roman" w:eastAsia="楷体_GB2312"/>
          <w:bCs w:val="0"/>
          <w:highlight w:val="none"/>
        </w:rPr>
        <w:t xml:space="preserve"> 本框架的目的</w:t>
      </w:r>
      <w:bookmarkEnd w:id="39"/>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的建设地点在青岛本部（山东省青岛市市北区南京路369号）以及红岛基地（山东省青岛市城阳区岙东南路21号）。框架实施的范围是本项目所涵盖的所有子项目。根据世界银行《环境和社会框架》（ESF）政策的要求，编制了本《环境和社会管理框架》，为项目活动在实施期间的环境与社会管理工作提供程序要求和技术指南。</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该环境与社会管理框架适用于项目所有的相关活动。它规定了评价和管理项目相关环境和社会风险/影响的原则、规则、准则和程序，包含了避免、减小、缓解和/或抵消不利风险和影响的措施与计划及其成本估算，明确了针对相关项目实施机构的环境社会管理职责安排以及能力建设计划。</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如果未来项目的活动内容在实施过程中发生变动，则</w:t>
      </w:r>
      <w:r>
        <w:rPr>
          <w:rFonts w:hint="eastAsia" w:ascii="Times New Roman" w:hAnsi="Times New Roman" w:eastAsia="仿宋_GB2312"/>
          <w:kern w:val="0"/>
          <w:sz w:val="32"/>
          <w:szCs w:val="32"/>
          <w:highlight w:val="none"/>
        </w:rPr>
        <w:t>项目管理办公室</w:t>
      </w:r>
      <w:r>
        <w:rPr>
          <w:rFonts w:ascii="Times New Roman" w:hAnsi="Times New Roman" w:eastAsia="仿宋_GB2312"/>
          <w:kern w:val="0"/>
          <w:sz w:val="32"/>
          <w:szCs w:val="32"/>
          <w:highlight w:val="none"/>
        </w:rPr>
        <w:t>需按照ESF的要求对调整的活动内容进行环境社会风险的筛查，并对本《环境社会管理框架》相应进行必要的更新和修改。更新/修改后的《环境社会管理框架》需按照世行政策的要求，重新开展公众参与并进行公示，并在实施前取得世行的事先同意。</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本框架在保证履行世界银行的环境和社会保障政策以及中国的环境法规的前提下，规定了环境与社会管理程序、机构的角色和职责以及公众参与和申诉程序。其主要的步骤如下：</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（1）对项目活动的潜在不利环境和社会风险或影响进行识别；</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（2）制定项目运作期间管理、减轻和监测环境和社会风险或影响的措施；</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（3）制定实施战略管理框架规定所需的培训和能力建设安排。</w:t>
      </w:r>
    </w:p>
    <w:p>
      <w:pPr>
        <w:pStyle w:val="4"/>
        <w:numPr>
          <w:ilvl w:val="1"/>
          <w:numId w:val="2"/>
        </w:numPr>
        <w:adjustRightInd w:val="0"/>
        <w:snapToGrid w:val="0"/>
        <w:spacing w:before="0" w:after="0" w:line="360" w:lineRule="auto"/>
        <w:ind w:left="0" w:firstLine="0"/>
        <w:rPr>
          <w:rFonts w:ascii="Times New Roman" w:hAnsi="Times New Roman" w:eastAsia="楷体_GB2312"/>
          <w:bCs w:val="0"/>
          <w:highlight w:val="none"/>
        </w:rPr>
      </w:pPr>
      <w:bookmarkStart w:id="40" w:name="_Toc414393582"/>
      <w:r>
        <w:rPr>
          <w:rFonts w:ascii="Times New Roman" w:hAnsi="Times New Roman" w:eastAsia="楷体_GB2312"/>
          <w:bCs w:val="0"/>
          <w:highlight w:val="none"/>
        </w:rPr>
        <w:t xml:space="preserve"> 本框架的编制方法</w:t>
      </w:r>
      <w:bookmarkEnd w:id="40"/>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本框架是按照世界银行《环境与社会框架》（ESF）政策以及中国国内相关法律法规框架的要求，并结合了本项目的实际活动内容编制而成。编制工作采用了如下的方法：</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资料收集：收集项目地区环境与社会的本底资料，项目活动实施方案，环境与社会管理方面的法律法规等；</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现场调研：考察项目单位周边的环境与社会状况，走访相关项目实施单位相关部门，调研项目相关背景、内容以及实施计划等；</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利益相关方磋商：识别利益相关方，并调研走访了解各利益相关者对项目的需求和潜在环境与社会影响；</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分析评价：综合资料收集、现场调研和利益相关方参与的成果，深入分析项目环境与社会风险和影响，制定相关管理程序，编制环境与社会管理框架文件。</w:t>
      </w:r>
    </w:p>
    <w:p>
      <w:pPr>
        <w:pStyle w:val="3"/>
        <w:numPr>
          <w:ilvl w:val="0"/>
          <w:numId w:val="2"/>
        </w:numPr>
        <w:adjustRightInd w:val="0"/>
        <w:snapToGrid w:val="0"/>
        <w:spacing w:before="0" w:after="0"/>
        <w:rPr>
          <w:rFonts w:ascii="Times New Roman" w:hAnsi="Times New Roman" w:eastAsia="黑体"/>
          <w:b w:val="0"/>
          <w:bCs w:val="0"/>
          <w:sz w:val="32"/>
          <w:szCs w:val="32"/>
          <w:highlight w:val="none"/>
        </w:rPr>
      </w:pPr>
      <w:bookmarkStart w:id="41" w:name="_Toc1157605983"/>
      <w:r>
        <w:rPr>
          <w:rFonts w:ascii="Times New Roman" w:hAnsi="Times New Roman" w:eastAsia="黑体"/>
          <w:b w:val="0"/>
          <w:bCs w:val="0"/>
          <w:kern w:val="0"/>
          <w:sz w:val="32"/>
          <w:szCs w:val="32"/>
          <w:highlight w:val="none"/>
        </w:rPr>
        <w:t>项目建设地点概况</w:t>
      </w:r>
      <w:bookmarkEnd w:id="41"/>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青岛市位于温带季风性气候区，由于海洋的影响，具有明显的海洋性气候特征：空气湿润，温度适中，四季分明，日温差小，气温升降平缓。</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自然条件优越的同时，青岛市产业基础雄厚，经济发展韧性强、活力足，是重要的国家级对外开放城市、国际航运枢纽城市。</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宜居宜业的优势吸引着大量人才汇集至此，人口总量平稳增长。2021年末，青岛市常住总人口1025.67万人，比上年增长1.49%。</w:t>
      </w:r>
    </w:p>
    <w:p>
      <w:pPr>
        <w:pStyle w:val="3"/>
        <w:numPr>
          <w:ilvl w:val="0"/>
          <w:numId w:val="2"/>
        </w:numPr>
        <w:adjustRightInd w:val="0"/>
        <w:snapToGrid w:val="0"/>
        <w:spacing w:before="0" w:after="0"/>
        <w:rPr>
          <w:rFonts w:ascii="Times New Roman" w:hAnsi="Times New Roman" w:eastAsia="黑体"/>
          <w:b w:val="0"/>
          <w:bCs w:val="0"/>
          <w:kern w:val="0"/>
          <w:sz w:val="32"/>
          <w:szCs w:val="32"/>
          <w:highlight w:val="none"/>
        </w:rPr>
      </w:pPr>
      <w:bookmarkStart w:id="42" w:name="_Toc1620420067"/>
      <w:r>
        <w:rPr>
          <w:rFonts w:ascii="Times New Roman" w:hAnsi="Times New Roman" w:eastAsia="黑体"/>
          <w:b w:val="0"/>
          <w:bCs w:val="0"/>
          <w:kern w:val="0"/>
          <w:sz w:val="32"/>
          <w:szCs w:val="32"/>
          <w:highlight w:val="none"/>
        </w:rPr>
        <w:t>项目适用的环境和社会法律法规政策框架</w:t>
      </w:r>
      <w:bookmarkEnd w:id="42"/>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的实施需要符合世界银行《环境与社会框架》的要求，同时也需要遵守中国内在环境与社会风险管理领域的有关法律法规的要求。本章总结了世界银行《环境和社会框架》在本项目中的适用要求，同时也梳理了中国现有的与项目最为相关的环境和社会管理法律法规、技术规范、适用标准等框架要求。这些构成了本项目环境与社会管理框架的法律基础。</w:t>
      </w:r>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在项目实施期间，具体子项目活动的识别、准备和实施，均需符合这些框架要求。</w:t>
      </w:r>
    </w:p>
    <w:p>
      <w:pPr>
        <w:pStyle w:val="4"/>
        <w:numPr>
          <w:ilvl w:val="1"/>
          <w:numId w:val="2"/>
        </w:numPr>
        <w:adjustRightInd w:val="0"/>
        <w:snapToGrid w:val="0"/>
        <w:spacing w:before="0" w:after="0" w:line="360" w:lineRule="auto"/>
        <w:ind w:left="0" w:firstLine="0"/>
        <w:rPr>
          <w:rFonts w:ascii="Times New Roman" w:hAnsi="Times New Roman" w:eastAsia="楷体_GB2312"/>
          <w:bCs w:val="0"/>
          <w:highlight w:val="none"/>
        </w:rPr>
      </w:pPr>
      <w:bookmarkStart w:id="43" w:name="_Toc57042917"/>
      <w:bookmarkStart w:id="44" w:name="_Toc55111651"/>
      <w:bookmarkStart w:id="45" w:name="_Toc1350329295"/>
      <w:r>
        <w:rPr>
          <w:rFonts w:ascii="Times New Roman" w:hAnsi="Times New Roman" w:eastAsia="楷体_GB2312"/>
          <w:bCs w:val="0"/>
          <w:highlight w:val="none"/>
        </w:rPr>
        <w:t xml:space="preserve"> 世界银行环境与社会框架</w:t>
      </w:r>
      <w:bookmarkEnd w:id="43"/>
      <w:bookmarkEnd w:id="44"/>
      <w:bookmarkEnd w:id="45"/>
    </w:p>
    <w:p>
      <w:pPr>
        <w:adjustRightInd w:val="0"/>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世界银行的《环境与社会管理框架》（ESF）适用于本项目。基于对项目活动的环境社会识别，认为本项目与十项环境和社会标准（ESS）中的六项相关，即ESS1，ESS2，ESS3，ESS4，ESS7以及ESS10相关，具体总结如下。</w:t>
      </w:r>
    </w:p>
    <w:p>
      <w:pPr>
        <w:pStyle w:val="8"/>
        <w:widowControl/>
        <w:snapToGrid w:val="0"/>
        <w:spacing w:before="325" w:beforeLines="100" w:after="162" w:afterLines="50"/>
        <w:ind w:left="105" w:leftChars="50"/>
        <w:jc w:val="center"/>
        <w:rPr>
          <w:rFonts w:ascii="Times New Roman" w:hAnsi="Times New Roman"/>
          <w:sz w:val="28"/>
          <w:szCs w:val="28"/>
          <w:highlight w:val="none"/>
        </w:rPr>
      </w:pPr>
      <w:r>
        <w:rPr>
          <w:rFonts w:ascii="Times New Roman" w:hAnsi="Times New Roman"/>
          <w:sz w:val="28"/>
          <w:szCs w:val="28"/>
          <w:highlight w:val="none"/>
        </w:rPr>
        <w:t>表</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STYLEREF 1 \s </w:instrText>
      </w:r>
      <w:r>
        <w:rPr>
          <w:rFonts w:ascii="Times New Roman" w:hAnsi="Times New Roman"/>
          <w:sz w:val="28"/>
          <w:szCs w:val="28"/>
          <w:highlight w:val="none"/>
        </w:rPr>
        <w:fldChar w:fldCharType="separate"/>
      </w:r>
      <w:r>
        <w:rPr>
          <w:rFonts w:ascii="Times New Roman" w:hAnsi="Times New Roman"/>
          <w:sz w:val="28"/>
          <w:szCs w:val="28"/>
          <w:highlight w:val="none"/>
        </w:rPr>
        <w:t>3</w:t>
      </w:r>
      <w:r>
        <w:rPr>
          <w:rFonts w:ascii="Times New Roman" w:hAnsi="Times New Roman"/>
          <w:sz w:val="28"/>
          <w:szCs w:val="28"/>
          <w:highlight w:val="none"/>
        </w:rPr>
        <w:fldChar w:fldCharType="end"/>
      </w:r>
      <w:r>
        <w:rPr>
          <w:rFonts w:ascii="Times New Roman" w:hAnsi="Times New Roman"/>
          <w:sz w:val="28"/>
          <w:szCs w:val="28"/>
          <w:highlight w:val="none"/>
        </w:rPr>
        <w:t>-</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SEQ 表 \* ARABIC \s 1 </w:instrText>
      </w:r>
      <w:r>
        <w:rPr>
          <w:rFonts w:ascii="Times New Roman" w:hAnsi="Times New Roman"/>
          <w:sz w:val="28"/>
          <w:szCs w:val="28"/>
          <w:highlight w:val="none"/>
        </w:rPr>
        <w:fldChar w:fldCharType="separate"/>
      </w:r>
      <w:r>
        <w:rPr>
          <w:rFonts w:ascii="Times New Roman" w:hAnsi="Times New Roman"/>
          <w:sz w:val="28"/>
          <w:szCs w:val="28"/>
          <w:highlight w:val="none"/>
        </w:rPr>
        <w:t>1</w:t>
      </w:r>
      <w:r>
        <w:rPr>
          <w:rFonts w:ascii="Times New Roman" w:hAnsi="Times New Roman"/>
          <w:sz w:val="28"/>
          <w:szCs w:val="28"/>
          <w:highlight w:val="none"/>
        </w:rPr>
        <w:fldChar w:fldCharType="end"/>
      </w:r>
      <w:bookmarkStart w:id="46" w:name="_Toc6725"/>
      <w:r>
        <w:rPr>
          <w:rFonts w:ascii="Times New Roman" w:hAnsi="Times New Roman"/>
          <w:sz w:val="28"/>
          <w:szCs w:val="28"/>
          <w:highlight w:val="none"/>
        </w:rPr>
        <w:t xml:space="preserve"> 世行环境与社会标准相关性分析</w:t>
      </w:r>
      <w:bookmarkEnd w:id="46"/>
    </w:p>
    <w:tbl>
      <w:tblPr>
        <w:tblStyle w:val="29"/>
        <w:tblW w:w="5203"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0" w:type="dxa"/>
          <w:bottom w:w="0" w:type="dxa"/>
          <w:right w:w="0" w:type="dxa"/>
        </w:tblCellMar>
      </w:tblPr>
      <w:tblGrid>
        <w:gridCol w:w="565"/>
        <w:gridCol w:w="1724"/>
        <w:gridCol w:w="1092"/>
        <w:gridCol w:w="5281"/>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705" w:hRule="atLeast"/>
          <w:tblHeader/>
          <w:jc w:val="center"/>
        </w:trPr>
        <w:tc>
          <w:tcPr>
            <w:tcW w:w="326"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sz w:val="24"/>
                <w:szCs w:val="24"/>
                <w:highlight w:val="none"/>
              </w:rPr>
            </w:pPr>
            <w:r>
              <w:rPr>
                <w:rFonts w:ascii="Times New Roman" w:hAnsi="Times New Roman" w:eastAsia="黑体"/>
                <w:bCs/>
                <w:kern w:val="0"/>
                <w:sz w:val="24"/>
                <w:szCs w:val="24"/>
                <w:highlight w:val="none"/>
              </w:rPr>
              <w:t>编号</w:t>
            </w:r>
          </w:p>
        </w:tc>
        <w:tc>
          <w:tcPr>
            <w:tcW w:w="995"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环境与</w:t>
            </w:r>
          </w:p>
          <w:p>
            <w:pPr>
              <w:widowControl/>
              <w:adjustRightInd w:val="0"/>
              <w:snapToGrid w:val="0"/>
              <w:jc w:val="center"/>
              <w:textAlignment w:val="center"/>
              <w:rPr>
                <w:rFonts w:ascii="Times New Roman" w:hAnsi="Times New Roman" w:eastAsia="黑体"/>
                <w:bCs/>
                <w:sz w:val="24"/>
                <w:szCs w:val="24"/>
                <w:highlight w:val="none"/>
              </w:rPr>
            </w:pPr>
            <w:r>
              <w:rPr>
                <w:rFonts w:ascii="Times New Roman" w:hAnsi="Times New Roman" w:eastAsia="黑体"/>
                <w:bCs/>
                <w:kern w:val="0"/>
                <w:sz w:val="24"/>
                <w:szCs w:val="24"/>
                <w:highlight w:val="none"/>
              </w:rPr>
              <w:t>社会标准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是否相关</w:t>
            </w:r>
          </w:p>
          <w:p>
            <w:pPr>
              <w:widowControl/>
              <w:adjustRightInd w:val="0"/>
              <w:snapToGrid w:val="0"/>
              <w:jc w:val="center"/>
              <w:textAlignment w:val="center"/>
              <w:rPr>
                <w:rFonts w:ascii="Times New Roman" w:hAnsi="Times New Roman" w:eastAsia="黑体"/>
                <w:bCs/>
                <w:sz w:val="24"/>
                <w:szCs w:val="24"/>
                <w:highlight w:val="none"/>
              </w:rPr>
            </w:pPr>
            <w:r>
              <w:rPr>
                <w:rFonts w:ascii="Times New Roman" w:hAnsi="Times New Roman" w:eastAsia="黑体"/>
                <w:bCs/>
                <w:kern w:val="0"/>
                <w:sz w:val="24"/>
                <w:szCs w:val="24"/>
                <w:highlight w:val="none"/>
              </w:rPr>
              <w:t>（是/否）</w:t>
            </w:r>
          </w:p>
        </w:tc>
        <w:tc>
          <w:tcPr>
            <w:tcW w:w="3047" w:type="pct"/>
            <w:tcMar>
              <w:top w:w="15" w:type="dxa"/>
              <w:left w:w="15" w:type="dxa"/>
              <w:right w:w="15" w:type="dxa"/>
            </w:tcMar>
            <w:vAlign w:val="center"/>
          </w:tcPr>
          <w:p>
            <w:pPr>
              <w:widowControl/>
              <w:adjustRightInd w:val="0"/>
              <w:snapToGrid w:val="0"/>
              <w:ind w:firstLine="480" w:firstLineChars="200"/>
              <w:jc w:val="center"/>
              <w:textAlignment w:val="center"/>
              <w:rPr>
                <w:rFonts w:ascii="Times New Roman" w:hAnsi="Times New Roman" w:eastAsia="黑体"/>
                <w:bCs/>
                <w:sz w:val="24"/>
                <w:szCs w:val="24"/>
                <w:highlight w:val="none"/>
              </w:rPr>
            </w:pPr>
            <w:r>
              <w:rPr>
                <w:rFonts w:ascii="Times New Roman" w:hAnsi="Times New Roman" w:eastAsia="黑体"/>
                <w:bCs/>
                <w:sz w:val="24"/>
                <w:szCs w:val="24"/>
                <w:highlight w:val="none"/>
              </w:rPr>
              <w:t>相关性分析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589"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1</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ESS1: 环境和社会风险和影响的评价和管理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1.本项目内容主要为设备采购、科研、培训，不涉及土建工程，不涉及针对新设备的实验室装修改造工程，也不是其他在建的实验室的关联工程。旨在通过更专业、更精确的仪器设备的购入，提升人兽共患病特别是新发共患病的检测识别能力，强化防控技术及产品的创新研发能力，加大人才培养和政策措施宣贯力度。</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2.上述活动本身没有环境与社会风险，但某些研究成果（防控技术指南等）中建议如果在将来被采纳实施时，可能存在潜在的下游环境与社会风险。</w:t>
            </w:r>
            <w:r>
              <w:rPr>
                <w:rFonts w:hint="eastAsia" w:ascii="Times New Roman" w:hAnsi="Times New Roman" w:eastAsia="仿宋_GB2312"/>
                <w:szCs w:val="21"/>
                <w:highlight w:val="none"/>
              </w:rPr>
              <w:t>如果</w:t>
            </w:r>
            <w:r>
              <w:rPr>
                <w:rFonts w:ascii="Times New Roman" w:hAnsi="Times New Roman" w:eastAsia="仿宋_GB2312"/>
                <w:szCs w:val="21"/>
                <w:highlight w:val="none"/>
              </w:rPr>
              <w:t>缺乏有效利益相关者参与，则可能致使项目不可持续，包容性不足。</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3.</w:t>
            </w:r>
            <w:r>
              <w:rPr>
                <w:rFonts w:hint="eastAsia" w:ascii="Times New Roman" w:hAnsi="Times New Roman" w:eastAsia="仿宋_GB2312"/>
                <w:szCs w:val="21"/>
                <w:highlight w:val="none"/>
              </w:rPr>
              <w:t>在运行期，</w:t>
            </w:r>
            <w:r>
              <w:rPr>
                <w:rFonts w:ascii="Times New Roman" w:hAnsi="Times New Roman" w:eastAsia="仿宋_GB2312"/>
                <w:szCs w:val="21"/>
                <w:highlight w:val="none"/>
              </w:rPr>
              <w:t>如果实验设备/用品未能被实验人员规范操作，或实验产生的废物未能妥善处理，则可能产生潜在的职业健康与安全风险</w:t>
            </w:r>
            <w:r>
              <w:rPr>
                <w:rFonts w:hint="eastAsia" w:ascii="Times New Roman" w:hAnsi="Times New Roman" w:eastAsia="仿宋_GB2312"/>
                <w:szCs w:val="21"/>
                <w:highlight w:val="none"/>
              </w:rPr>
              <w:t>或社区健康风险</w:t>
            </w:r>
            <w:r>
              <w:rPr>
                <w:rFonts w:ascii="Times New Roman" w:hAnsi="Times New Roman" w:eastAsia="仿宋_GB2312"/>
                <w:szCs w:val="21"/>
                <w:highlight w:val="none"/>
              </w:rPr>
              <w:t>。</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4.为此编制了本《环境社会管理框架》（ESMF）和《利益相关者参与计划》（SEP）作为本项目活动的环境社会管理工具。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2</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ESS2: 劳工和工作条件</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1.本项目潜在的劳工相关风险主要涉及使用设备的科研人员未能适当合规操作、现场调研人员的职业健康和安全（OHS）的风险。</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2.项目实施中，各子项目的劳工管理风险会纳入环境与社会监测内容进行跟踪监测。</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3</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ESS3: 资源效率与污染预防和管理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1.在ESMF中，完备的实验室管理文件和措施（包括实验室废弃物处理、实验室生物安全管理等文件和措施等）对实验中产生的废物（废气、废液及废渣）管理以及感染的控制提供了保障，对设施的废水和废物管理以及感染的控制提供了保障，该措施综合了WBG环境、健康和安全指南和其他适用的GIIP的要求。</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2.人兽共患病研究过程中产生的医疗废弃物</w:t>
            </w:r>
            <w:r>
              <w:rPr>
                <w:rFonts w:hint="eastAsia" w:ascii="Times New Roman" w:hAnsi="Times New Roman" w:eastAsia="仿宋_GB2312"/>
                <w:szCs w:val="21"/>
                <w:highlight w:val="none"/>
              </w:rPr>
              <w:t>有可能</w:t>
            </w:r>
            <w:r>
              <w:rPr>
                <w:rFonts w:ascii="Times New Roman" w:hAnsi="Times New Roman" w:eastAsia="仿宋_GB2312"/>
                <w:szCs w:val="21"/>
                <w:highlight w:val="none"/>
              </w:rPr>
              <w:t>产生污染问题，对此</w:t>
            </w:r>
            <w:r>
              <w:rPr>
                <w:rFonts w:hint="eastAsia" w:ascii="Times New Roman" w:hAnsi="Times New Roman" w:eastAsia="仿宋_GB2312"/>
                <w:szCs w:val="21"/>
                <w:highlight w:val="none"/>
              </w:rPr>
              <w:t>本ESMF</w:t>
            </w:r>
            <w:r>
              <w:rPr>
                <w:rFonts w:ascii="Times New Roman" w:hAnsi="Times New Roman" w:eastAsia="仿宋_GB2312"/>
                <w:szCs w:val="21"/>
                <w:highlight w:val="none"/>
              </w:rPr>
              <w:t>开展</w:t>
            </w:r>
            <w:r>
              <w:rPr>
                <w:rFonts w:hint="eastAsia" w:ascii="Times New Roman" w:hAnsi="Times New Roman" w:eastAsia="仿宋_GB2312"/>
                <w:szCs w:val="21"/>
                <w:highlight w:val="none"/>
              </w:rPr>
              <w:t>了</w:t>
            </w:r>
            <w:r>
              <w:rPr>
                <w:rFonts w:ascii="Times New Roman" w:hAnsi="Times New Roman" w:eastAsia="仿宋_GB2312"/>
                <w:szCs w:val="21"/>
                <w:highlight w:val="none"/>
              </w:rPr>
              <w:t>健康影响评价。</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4</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ESS4: 社区健康与安全</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是</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1.该项目不涉及土建工程，不会有大量劳动力涌入。制定</w:t>
            </w:r>
            <w:r>
              <w:rPr>
                <w:rFonts w:hint="eastAsia" w:ascii="Times New Roman" w:hAnsi="Times New Roman" w:eastAsia="仿宋_GB2312"/>
                <w:szCs w:val="21"/>
                <w:highlight w:val="none"/>
              </w:rPr>
              <w:t>ESMF</w:t>
            </w:r>
            <w:r>
              <w:rPr>
                <w:rFonts w:ascii="Times New Roman" w:hAnsi="Times New Roman" w:eastAsia="仿宋_GB2312"/>
                <w:szCs w:val="21"/>
                <w:highlight w:val="none"/>
              </w:rPr>
              <w:t>将包括保护社区免受新发传染病的影响。</w:t>
            </w:r>
          </w:p>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2.项目制定了《利益相关者参与计划》（SEP），将在项目开发早期及实施过程中开展与周边社区的信息公示、咨询等参与工作。</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746"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5</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ESS5: 土地征用、土地使用限制和非自愿移民</w:t>
            </w:r>
          </w:p>
        </w:tc>
        <w:tc>
          <w:tcPr>
            <w:tcW w:w="630" w:type="pct"/>
            <w:tcMar>
              <w:top w:w="15" w:type="dxa"/>
              <w:left w:w="15" w:type="dxa"/>
              <w:right w:w="15" w:type="dxa"/>
            </w:tcMar>
            <w:vAlign w:val="center"/>
          </w:tcPr>
          <w:p>
            <w:pPr>
              <w:pStyle w:val="27"/>
              <w:adjustRightInd w:val="0"/>
              <w:snapToGrid w:val="0"/>
              <w:spacing w:before="0" w:beforeAutospacing="0" w:after="0" w:afterAutospacing="0"/>
              <w:jc w:val="center"/>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否</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项目没有土地征用及土建工程，</w:t>
            </w:r>
            <w:r>
              <w:rPr>
                <w:rFonts w:hint="eastAsia" w:ascii="Times New Roman" w:hAnsi="Times New Roman" w:eastAsia="仿宋_GB2312"/>
                <w:szCs w:val="21"/>
                <w:highlight w:val="none"/>
              </w:rPr>
              <w:t>项目</w:t>
            </w:r>
            <w:r>
              <w:rPr>
                <w:rFonts w:ascii="Times New Roman" w:hAnsi="Times New Roman" w:eastAsia="仿宋_GB2312"/>
                <w:szCs w:val="21"/>
                <w:highlight w:val="none"/>
              </w:rPr>
              <w:t>活动将在现有设施内进行。</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840"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6</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ESS6: 生物多样性保护和生物自然资源的可持续管理</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否</w:t>
            </w:r>
          </w:p>
        </w:tc>
        <w:tc>
          <w:tcPr>
            <w:tcW w:w="3047" w:type="pct"/>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ascii="Times New Roman" w:hAnsi="Times New Roman" w:eastAsia="仿宋_GB2312"/>
                <w:szCs w:val="21"/>
                <w:highlight w:val="none"/>
              </w:rPr>
              <w:t xml:space="preserve">根据当前的设计，项目不会涉及与自然资源相关的潜在风险或影响的活动。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1126" w:hRule="atLeast"/>
          <w:jc w:val="center"/>
        </w:trPr>
        <w:tc>
          <w:tcPr>
            <w:tcW w:w="565" w:type="dxa"/>
            <w:tcMar>
              <w:top w:w="15" w:type="dxa"/>
              <w:left w:w="15" w:type="dxa"/>
              <w:right w:w="15" w:type="dxa"/>
            </w:tcMar>
            <w:vAlign w:val="center"/>
          </w:tcPr>
          <w:p>
            <w:pPr>
              <w:widowControl/>
              <w:snapToGrid w:val="0"/>
              <w:jc w:val="center"/>
              <w:textAlignment w:val="center"/>
              <w:rPr>
                <w:rFonts w:ascii="Times New Roman" w:hAnsi="Times New Roman" w:eastAsia="仿宋_GB2312"/>
                <w:kern w:val="0"/>
                <w:sz w:val="24"/>
                <w:szCs w:val="24"/>
                <w:highlight w:val="none"/>
              </w:rPr>
            </w:pPr>
            <w:r>
              <w:rPr>
                <w:rFonts w:ascii="Times New Roman" w:hAnsi="Times New Roman" w:eastAsia="宋体"/>
                <w:color w:val="000000"/>
                <w:kern w:val="0"/>
                <w:szCs w:val="21"/>
                <w:highlight w:val="none"/>
              </w:rPr>
              <w:t>7</w:t>
            </w:r>
          </w:p>
        </w:tc>
        <w:tc>
          <w:tcPr>
            <w:tcW w:w="1724" w:type="dxa"/>
            <w:tcMar>
              <w:top w:w="15" w:type="dxa"/>
              <w:left w:w="15" w:type="dxa"/>
              <w:right w:w="15" w:type="dxa"/>
            </w:tcMar>
            <w:vAlign w:val="center"/>
          </w:tcPr>
          <w:p>
            <w:pPr>
              <w:widowControl/>
              <w:snapToGrid w:val="0"/>
              <w:spacing w:after="0" w:line="260" w:lineRule="auto"/>
              <w:jc w:val="left"/>
              <w:textAlignment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ESS7: 原住民/ 撒哈拉以南非洲长期服务不足的传统地方社区</w:t>
            </w:r>
          </w:p>
        </w:tc>
        <w:tc>
          <w:tcPr>
            <w:tcW w:w="1092" w:type="dxa"/>
            <w:tcMar>
              <w:top w:w="15" w:type="dxa"/>
              <w:left w:w="15" w:type="dxa"/>
              <w:right w:w="15" w:type="dxa"/>
            </w:tcMar>
            <w:vAlign w:val="center"/>
          </w:tcPr>
          <w:p>
            <w:pPr>
              <w:widowControl/>
              <w:snapToGrid w:val="0"/>
              <w:jc w:val="center"/>
              <w:textAlignment w:val="center"/>
              <w:rPr>
                <w:rFonts w:ascii="Times New Roman" w:hAnsi="Times New Roman" w:eastAsia="仿宋_GB2312"/>
                <w:kern w:val="0"/>
                <w:szCs w:val="21"/>
                <w:highlight w:val="none"/>
              </w:rPr>
            </w:pPr>
            <w:r>
              <w:rPr>
                <w:rFonts w:hint="eastAsia" w:ascii="Times New Roman" w:hAnsi="Times New Roman" w:eastAsia="仿宋_GB2312"/>
                <w:kern w:val="0"/>
                <w:szCs w:val="21"/>
                <w:highlight w:val="none"/>
              </w:rPr>
              <w:t>否</w:t>
            </w:r>
          </w:p>
        </w:tc>
        <w:tc>
          <w:tcPr>
            <w:tcW w:w="5281" w:type="dxa"/>
            <w:tcMar>
              <w:top w:w="15" w:type="dxa"/>
              <w:left w:w="15" w:type="dxa"/>
              <w:right w:w="15" w:type="dxa"/>
            </w:tcMar>
            <w:vAlign w:val="center"/>
          </w:tcPr>
          <w:p>
            <w:pPr>
              <w:widowControl/>
              <w:adjustRightInd w:val="0"/>
              <w:snapToGrid w:val="0"/>
              <w:ind w:firstLine="420" w:firstLineChars="200"/>
              <w:jc w:val="left"/>
              <w:rPr>
                <w:rFonts w:ascii="Times New Roman" w:hAnsi="Times New Roman" w:eastAsia="仿宋_GB2312"/>
                <w:szCs w:val="21"/>
                <w:highlight w:val="none"/>
              </w:rPr>
            </w:pPr>
            <w:r>
              <w:rPr>
                <w:rFonts w:hint="eastAsia" w:ascii="Times New Roman" w:hAnsi="Times New Roman" w:eastAsia="仿宋_GB2312"/>
                <w:szCs w:val="21"/>
                <w:highlight w:val="none"/>
              </w:rPr>
              <w:t>项目在主体民族地区进行，不涉及少数民族为主体的自治区县，</w:t>
            </w:r>
            <w:r>
              <w:rPr>
                <w:rFonts w:ascii="Times New Roman" w:hAnsi="Times New Roman" w:eastAsia="仿宋_GB2312"/>
                <w:szCs w:val="21"/>
                <w:highlight w:val="none"/>
              </w:rPr>
              <w:t>不会涉及到少数民族</w:t>
            </w:r>
            <w:r>
              <w:rPr>
                <w:rFonts w:hint="eastAsia" w:ascii="Times New Roman" w:hAnsi="Times New Roman" w:eastAsia="仿宋_GB2312"/>
                <w:szCs w:val="21"/>
                <w:highlight w:val="none"/>
              </w:rPr>
              <w:t>居民。</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2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hint="eastAsia" w:ascii="Times New Roman" w:hAnsi="Times New Roman" w:eastAsia="仿宋_GB2312"/>
                <w:kern w:val="0"/>
                <w:sz w:val="24"/>
                <w:szCs w:val="24"/>
                <w:highlight w:val="none"/>
              </w:rPr>
              <w:t>8</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ESS8: 文化遗产</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szCs w:val="21"/>
                <w:highlight w:val="none"/>
              </w:rPr>
              <w:t>否</w:t>
            </w:r>
          </w:p>
        </w:tc>
        <w:tc>
          <w:tcPr>
            <w:tcW w:w="3047" w:type="pct"/>
            <w:tcMar>
              <w:top w:w="15" w:type="dxa"/>
              <w:left w:w="15" w:type="dxa"/>
              <w:right w:w="15" w:type="dxa"/>
            </w:tcMar>
            <w:vAlign w:val="center"/>
          </w:tcPr>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kern w:val="2"/>
                <w:sz w:val="21"/>
                <w:szCs w:val="21"/>
                <w:highlight w:val="none"/>
              </w:rPr>
              <w:t>本项目不涉及文化遗产，本标准不适用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hint="eastAsia" w:ascii="Times New Roman" w:hAnsi="Times New Roman" w:eastAsia="仿宋_GB2312"/>
                <w:kern w:val="0"/>
                <w:sz w:val="24"/>
                <w:szCs w:val="24"/>
                <w:highlight w:val="none"/>
              </w:rPr>
              <w:t>9</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ESS9: 金融中介机构</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否</w:t>
            </w:r>
          </w:p>
        </w:tc>
        <w:tc>
          <w:tcPr>
            <w:tcW w:w="3047" w:type="pct"/>
            <w:tcMar>
              <w:top w:w="15" w:type="dxa"/>
              <w:left w:w="15" w:type="dxa"/>
              <w:right w:w="15" w:type="dxa"/>
            </w:tcMar>
            <w:vAlign w:val="center"/>
          </w:tcPr>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kern w:val="2"/>
                <w:sz w:val="21"/>
                <w:szCs w:val="21"/>
                <w:highlight w:val="none"/>
              </w:rPr>
              <w:t>本项目不涉及金融中介机构，因此本标准不适用。</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651" w:hRule="atLeast"/>
          <w:jc w:val="center"/>
        </w:trPr>
        <w:tc>
          <w:tcPr>
            <w:tcW w:w="326" w:type="pct"/>
            <w:tcMar>
              <w:top w:w="15" w:type="dxa"/>
              <w:left w:w="15" w:type="dxa"/>
              <w:right w:w="15" w:type="dxa"/>
            </w:tcMar>
            <w:vAlign w:val="center"/>
          </w:tcPr>
          <w:p>
            <w:pPr>
              <w:widowControl/>
              <w:adjustRightInd w:val="0"/>
              <w:snapToGrid w:val="0"/>
              <w:spacing w:line="360" w:lineRule="exact"/>
              <w:jc w:val="center"/>
              <w:textAlignment w:val="center"/>
              <w:rPr>
                <w:rFonts w:ascii="Times New Roman" w:hAnsi="Times New Roman" w:eastAsia="仿宋_GB2312"/>
                <w:sz w:val="24"/>
                <w:szCs w:val="24"/>
                <w:highlight w:val="none"/>
              </w:rPr>
            </w:pPr>
            <w:r>
              <w:rPr>
                <w:rFonts w:hint="eastAsia" w:ascii="Times New Roman" w:hAnsi="Times New Roman" w:eastAsia="仿宋_GB2312"/>
                <w:kern w:val="0"/>
                <w:sz w:val="24"/>
                <w:szCs w:val="24"/>
                <w:highlight w:val="none"/>
              </w:rPr>
              <w:t>10</w:t>
            </w:r>
          </w:p>
        </w:tc>
        <w:tc>
          <w:tcPr>
            <w:tcW w:w="995" w:type="pct"/>
            <w:tcMar>
              <w:top w:w="15" w:type="dxa"/>
              <w:left w:w="15" w:type="dxa"/>
              <w:right w:w="15" w:type="dxa"/>
            </w:tcMar>
            <w:vAlign w:val="center"/>
          </w:tcPr>
          <w:p>
            <w:pPr>
              <w:widowControl/>
              <w:adjustRightInd w:val="0"/>
              <w:snapToGrid w:val="0"/>
              <w:jc w:val="left"/>
              <w:textAlignment w:val="center"/>
              <w:rPr>
                <w:rFonts w:ascii="Times New Roman" w:hAnsi="Times New Roman" w:eastAsia="仿宋_GB2312"/>
                <w:szCs w:val="21"/>
                <w:highlight w:val="none"/>
              </w:rPr>
            </w:pPr>
            <w:r>
              <w:rPr>
                <w:rFonts w:ascii="Times New Roman" w:hAnsi="Times New Roman" w:eastAsia="仿宋_GB2312"/>
                <w:kern w:val="0"/>
                <w:szCs w:val="21"/>
                <w:highlight w:val="none"/>
              </w:rPr>
              <w:t>ESS10: 利益相关方参与和信息公开</w:t>
            </w:r>
          </w:p>
        </w:tc>
        <w:tc>
          <w:tcPr>
            <w:tcW w:w="630" w:type="pct"/>
            <w:tcMar>
              <w:top w:w="15" w:type="dxa"/>
              <w:left w:w="15" w:type="dxa"/>
              <w:right w:w="15" w:type="dxa"/>
            </w:tcMar>
            <w:vAlign w:val="center"/>
          </w:tcPr>
          <w:p>
            <w:pPr>
              <w:widowControl/>
              <w:adjustRightInd w:val="0"/>
              <w:snapToGrid w:val="0"/>
              <w:jc w:val="center"/>
              <w:textAlignment w:val="center"/>
              <w:rPr>
                <w:rFonts w:ascii="Times New Roman" w:hAnsi="Times New Roman" w:eastAsia="仿宋_GB2312"/>
                <w:kern w:val="0"/>
                <w:szCs w:val="21"/>
                <w:highlight w:val="none"/>
              </w:rPr>
            </w:pPr>
            <w:r>
              <w:rPr>
                <w:rFonts w:ascii="Times New Roman" w:hAnsi="Times New Roman" w:eastAsia="仿宋_GB2312"/>
                <w:kern w:val="0"/>
                <w:szCs w:val="21"/>
                <w:highlight w:val="none"/>
              </w:rPr>
              <w:t>是</w:t>
            </w:r>
          </w:p>
        </w:tc>
        <w:tc>
          <w:tcPr>
            <w:tcW w:w="3047" w:type="pct"/>
            <w:tcMar>
              <w:top w:w="15" w:type="dxa"/>
              <w:left w:w="15" w:type="dxa"/>
              <w:right w:w="15" w:type="dxa"/>
            </w:tcMar>
            <w:vAlign w:val="center"/>
          </w:tcPr>
          <w:p>
            <w:pPr>
              <w:adjustRightInd w:val="0"/>
              <w:snapToGrid w:val="0"/>
              <w:ind w:firstLine="420" w:firstLineChars="200"/>
              <w:rPr>
                <w:rFonts w:ascii="Times New Roman" w:hAnsi="Times New Roman" w:eastAsia="仿宋_GB2312"/>
                <w:szCs w:val="21"/>
                <w:highlight w:val="none"/>
              </w:rPr>
            </w:pPr>
            <w:r>
              <w:rPr>
                <w:rFonts w:ascii="Times New Roman" w:hAnsi="Times New Roman" w:eastAsia="仿宋_GB2312"/>
                <w:szCs w:val="21"/>
                <w:highlight w:val="none"/>
              </w:rPr>
              <w:t>1.制定了《利益相关者参与计划》（SEP），初步的SEP 包括抱怨与申诉机制，它将不断更新，以具体考虑项目区内潜在的脆弱社区的需求，信息披露与磋商需要贯穿于本项目以及下游活动的准备期、实施期</w:t>
            </w:r>
            <w:r>
              <w:rPr>
                <w:rFonts w:hint="eastAsia" w:ascii="Times New Roman" w:hAnsi="Times New Roman" w:eastAsia="仿宋_GB2312"/>
                <w:szCs w:val="21"/>
                <w:highlight w:val="none"/>
              </w:rPr>
              <w:t>，确保项目的利益相关方知晓项目信息，并在项目设计中融入利益相关方的考量</w:t>
            </w:r>
            <w:r>
              <w:rPr>
                <w:rFonts w:ascii="Times New Roman" w:hAnsi="Times New Roman" w:eastAsia="仿宋_GB2312"/>
                <w:szCs w:val="21"/>
                <w:highlight w:val="none"/>
              </w:rPr>
              <w:t>。</w:t>
            </w:r>
          </w:p>
          <w:p>
            <w:pPr>
              <w:pStyle w:val="27"/>
              <w:adjustRightInd w:val="0"/>
              <w:snapToGrid w:val="0"/>
              <w:spacing w:before="0" w:beforeAutospacing="0" w:after="0" w:afterAutospacing="0"/>
              <w:ind w:firstLine="420" w:firstLineChars="200"/>
              <w:rPr>
                <w:rFonts w:ascii="Times New Roman" w:hAnsi="Times New Roman" w:eastAsia="仿宋_GB2312" w:cs="Times New Roman"/>
                <w:sz w:val="21"/>
                <w:szCs w:val="21"/>
                <w:highlight w:val="none"/>
              </w:rPr>
            </w:pPr>
            <w:r>
              <w:rPr>
                <w:rFonts w:ascii="Times New Roman" w:hAnsi="Times New Roman" w:eastAsia="仿宋_GB2312" w:cs="Times New Roman"/>
                <w:kern w:val="2"/>
                <w:sz w:val="21"/>
                <w:szCs w:val="21"/>
                <w:highlight w:val="none"/>
              </w:rPr>
              <w:t>2.在SEP</w:t>
            </w:r>
            <w:r>
              <w:rPr>
                <w:rFonts w:hint="eastAsia" w:ascii="Times New Roman" w:hAnsi="Times New Roman" w:eastAsia="仿宋_GB2312" w:cs="Times New Roman"/>
                <w:kern w:val="2"/>
                <w:sz w:val="21"/>
                <w:szCs w:val="21"/>
                <w:highlight w:val="none"/>
              </w:rPr>
              <w:t>中，项目实施单位</w:t>
            </w:r>
            <w:r>
              <w:rPr>
                <w:rFonts w:ascii="Times New Roman" w:hAnsi="Times New Roman" w:eastAsia="仿宋_GB2312" w:cs="Times New Roman"/>
                <w:kern w:val="2"/>
                <w:sz w:val="21"/>
                <w:szCs w:val="21"/>
                <w:highlight w:val="none"/>
              </w:rPr>
              <w:t>将在整个项目生命周期内与所有利益相关者接触，将少数民族群体以及弱势群体包括在内，以便向利益相关方提供及时、相关、可理解和可访问的信息。另外，抱怨与申诉机制也包括在SEP中。</w:t>
            </w:r>
          </w:p>
        </w:tc>
      </w:tr>
    </w:tbl>
    <w:p>
      <w:pPr>
        <w:adjustRightInd w:val="0"/>
        <w:snapToGrid w:val="0"/>
        <w:spacing w:before="325" w:beforeLines="10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世行《环境与社会框架》还要求项目应用世行集团的《环境、健康和安全指南》的相关要求。《环境、健康与安全指南》包含一般建设活动、通常可以接受且可操作的绩效水平和环境、健康与安全防护措施。</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47" w:name="_Toc1481621373"/>
      <w:r>
        <w:rPr>
          <w:rFonts w:ascii="Times New Roman" w:hAnsi="Times New Roman" w:eastAsia="楷体_GB2312"/>
          <w:bCs w:val="0"/>
          <w:highlight w:val="none"/>
        </w:rPr>
        <w:t xml:space="preserve"> 国内环境相关的法律法规政策框架</w:t>
      </w:r>
      <w:bookmarkEnd w:id="47"/>
    </w:p>
    <w:p>
      <w:pPr>
        <w:pStyle w:val="5"/>
        <w:snapToGrid w:val="0"/>
        <w:spacing w:before="0" w:after="0" w:line="360" w:lineRule="auto"/>
        <w:rPr>
          <w:rFonts w:ascii="Times New Roman" w:hAnsi="Times New Roman" w:eastAsia="仿宋_GB2312"/>
          <w:szCs w:val="32"/>
          <w:highlight w:val="none"/>
        </w:rPr>
      </w:pPr>
      <w:bookmarkStart w:id="48" w:name="_Toc1762246054"/>
      <w:r>
        <w:rPr>
          <w:rFonts w:ascii="Times New Roman" w:hAnsi="Times New Roman" w:eastAsia="仿宋_GB2312"/>
          <w:szCs w:val="32"/>
          <w:highlight w:val="none"/>
        </w:rPr>
        <w:t>3.2.1 国内环境相关的法律法规政策框架</w:t>
      </w:r>
      <w:bookmarkEnd w:id="48"/>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自从1979年颁布环境保护法以来，中国逐渐建立了全面的环境管理框架。在国家层面，围绕环境质量、污染控制、自然资源和生态保护等方面，制定了80多项法律、120项法规和1000多项环境质量排放标准和技术导则。在省级和地方一级，各省、直辖市出台了大量的环境保护法规，并且地方环境和排放标准比国家标准更严格。</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表3-2列出了与本次项目活动主要中国相关的环境方面的法律法规。具体适用的法律框架及标准需要在具体子项目的环境影响评价（如涉及）中最终确定，并进行详尽的分析，按照要求制定相应的减缓措施。</w:t>
      </w:r>
    </w:p>
    <w:p>
      <w:pPr>
        <w:pStyle w:val="8"/>
        <w:widowControl/>
        <w:snapToGrid w:val="0"/>
        <w:spacing w:line="520" w:lineRule="exact"/>
        <w:ind w:left="105" w:leftChars="50"/>
        <w:jc w:val="center"/>
        <w:rPr>
          <w:rFonts w:ascii="Times New Roman" w:hAnsi="Times New Roman"/>
          <w:sz w:val="28"/>
          <w:szCs w:val="28"/>
          <w:highlight w:val="none"/>
        </w:rPr>
      </w:pPr>
      <w:r>
        <w:rPr>
          <w:rFonts w:ascii="Times New Roman" w:hAnsi="Times New Roman"/>
          <w:sz w:val="28"/>
          <w:szCs w:val="28"/>
          <w:highlight w:val="none"/>
        </w:rPr>
        <w:t>表</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STYLEREF 1 \s </w:instrText>
      </w:r>
      <w:r>
        <w:rPr>
          <w:rFonts w:ascii="Times New Roman" w:hAnsi="Times New Roman"/>
          <w:sz w:val="28"/>
          <w:szCs w:val="28"/>
          <w:highlight w:val="none"/>
        </w:rPr>
        <w:fldChar w:fldCharType="separate"/>
      </w:r>
      <w:r>
        <w:rPr>
          <w:rFonts w:ascii="Times New Roman" w:hAnsi="Times New Roman"/>
          <w:sz w:val="28"/>
          <w:szCs w:val="28"/>
          <w:highlight w:val="none"/>
        </w:rPr>
        <w:t>3</w:t>
      </w:r>
      <w:r>
        <w:rPr>
          <w:rFonts w:ascii="Times New Roman" w:hAnsi="Times New Roman"/>
          <w:sz w:val="28"/>
          <w:szCs w:val="28"/>
          <w:highlight w:val="none"/>
        </w:rPr>
        <w:fldChar w:fldCharType="end"/>
      </w:r>
      <w:r>
        <w:rPr>
          <w:rFonts w:ascii="Times New Roman" w:hAnsi="Times New Roman"/>
          <w:sz w:val="28"/>
          <w:szCs w:val="28"/>
          <w:highlight w:val="none"/>
        </w:rPr>
        <w:t>-</w:t>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SEQ 表 \* ARABIC \s 1 </w:instrText>
      </w:r>
      <w:r>
        <w:rPr>
          <w:rFonts w:ascii="Times New Roman" w:hAnsi="Times New Roman"/>
          <w:sz w:val="28"/>
          <w:szCs w:val="28"/>
          <w:highlight w:val="none"/>
        </w:rPr>
        <w:fldChar w:fldCharType="separate"/>
      </w:r>
      <w:r>
        <w:rPr>
          <w:rFonts w:ascii="Times New Roman" w:hAnsi="Times New Roman"/>
          <w:sz w:val="28"/>
          <w:szCs w:val="28"/>
          <w:highlight w:val="none"/>
        </w:rPr>
        <w:t>2</w:t>
      </w:r>
      <w:r>
        <w:rPr>
          <w:rFonts w:ascii="Times New Roman" w:hAnsi="Times New Roman"/>
          <w:sz w:val="28"/>
          <w:szCs w:val="28"/>
          <w:highlight w:val="none"/>
        </w:rPr>
        <w:fldChar w:fldCharType="end"/>
      </w:r>
      <w:bookmarkStart w:id="49" w:name="_Toc1713"/>
      <w:r>
        <w:rPr>
          <w:rFonts w:ascii="Times New Roman" w:hAnsi="Times New Roman"/>
          <w:sz w:val="28"/>
          <w:szCs w:val="28"/>
          <w:highlight w:val="none"/>
        </w:rPr>
        <w:t xml:space="preserve"> 适用于本项目的国内环境相关法律法规政策</w:t>
      </w:r>
      <w:bookmarkEnd w:id="49"/>
    </w:p>
    <w:tbl>
      <w:tblPr>
        <w:tblStyle w:val="29"/>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695"/>
        <w:gridCol w:w="1473"/>
        <w:gridCol w:w="48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452" w:type="dxa"/>
            <w:vAlign w:val="center"/>
          </w:tcPr>
          <w:p>
            <w:pPr>
              <w:adjustRightInd w:val="0"/>
              <w:snapToGrid w:val="0"/>
              <w:spacing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序号</w:t>
            </w:r>
          </w:p>
        </w:tc>
        <w:tc>
          <w:tcPr>
            <w:tcW w:w="1695" w:type="dxa"/>
            <w:vAlign w:val="center"/>
          </w:tcPr>
          <w:p>
            <w:pPr>
              <w:adjustRightInd w:val="0"/>
              <w:snapToGrid w:val="0"/>
              <w:spacing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法律法规名称</w:t>
            </w:r>
          </w:p>
        </w:tc>
        <w:tc>
          <w:tcPr>
            <w:tcW w:w="0" w:type="auto"/>
            <w:vAlign w:val="center"/>
          </w:tcPr>
          <w:p>
            <w:pPr>
              <w:adjustRightInd w:val="0"/>
              <w:snapToGrid w:val="0"/>
              <w:spacing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实施/修订实施日期</w:t>
            </w:r>
          </w:p>
        </w:tc>
        <w:tc>
          <w:tcPr>
            <w:tcW w:w="0" w:type="auto"/>
            <w:vAlign w:val="center"/>
          </w:tcPr>
          <w:p>
            <w:pPr>
              <w:adjustRightInd w:val="0"/>
              <w:snapToGrid w:val="0"/>
              <w:spacing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相关性分析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pStyle w:val="64"/>
              <w:widowControl/>
              <w:spacing w:line="360" w:lineRule="auto"/>
              <w:ind w:firstLine="0" w:firstLineChars="0"/>
              <w:jc w:val="center"/>
              <w:rPr>
                <w:rFonts w:ascii="Times New Roman" w:hAnsi="Times New Roman" w:eastAsia="仿宋_GB2312"/>
                <w:b/>
                <w:szCs w:val="21"/>
                <w:highlight w:val="none"/>
              </w:rPr>
            </w:pPr>
            <w:r>
              <w:rPr>
                <w:rFonts w:ascii="Times New Roman" w:hAnsi="Times New Roman" w:eastAsia="仿宋_GB2312"/>
                <w:b/>
                <w:szCs w:val="21"/>
                <w:highlight w:val="none"/>
              </w:rPr>
              <w:t>一、环境保护法律文件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《中华人民共和国环境保护法》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2015-01-01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该法律是中国环境法中的宪法，是一切环境保护污染治理的纲领性文件，所以项目的环境管理（即本文及附属文件）必须符合该法律的要求。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《中华人民共和国水污染防治法》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2018-01-01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本项目涉及少量实验室废水，对其对环境的影响及对其的分析、预测和评估，减缓措施应符合《中华人民共和国水污染防治法》的要求。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3</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《中华人民共和国固体废物污染环境防治法》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2020-09-01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本项目涉及少量实验室废物，对其对环境的影响及对其的分析、预测和评估，减缓措施应符合《中华人民共和国固体废物污染环境防治法》的要求。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4</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《国家危险废物名录》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2016-08-01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项目涉及的少量实验室废物中具有空间污染，急性传染和潜伏性污染等，需要根据《国家危险废物名录》进行判别，若是则要满足国家对于危险废物法律法规的要求。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5</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《危险废物转移联单管理办法》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1999-10-01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项目涉及的少量实验室废物属于危险废物，对其对环境的影响及对其的分析、预测和评估，管理措施应符合《危险废物转移联单管理办法》的要求。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6</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《中华人民共和国野生动物保护法》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2017-01-01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本项涉及到人兽共患病的预防与控制，其中野生动物是污染病传播中的重要一环，在进行与野生动物相关的活动时，需要遵循本法规定。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pStyle w:val="64"/>
              <w:widowControl/>
              <w:spacing w:line="360" w:lineRule="auto"/>
              <w:ind w:firstLine="0" w:firstLineChars="0"/>
              <w:jc w:val="center"/>
              <w:rPr>
                <w:rFonts w:ascii="Times New Roman" w:hAnsi="Times New Roman" w:eastAsia="仿宋_GB2312"/>
                <w:b/>
                <w:szCs w:val="21"/>
                <w:highlight w:val="none"/>
              </w:rPr>
            </w:pPr>
            <w:r>
              <w:rPr>
                <w:rFonts w:ascii="Times New Roman" w:hAnsi="Times New Roman" w:eastAsia="仿宋_GB2312"/>
                <w:b/>
                <w:szCs w:val="21"/>
                <w:highlight w:val="none"/>
              </w:rPr>
              <w:t>二、生物安全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w:t>
            </w:r>
          </w:p>
        </w:tc>
        <w:tc>
          <w:tcPr>
            <w:tcW w:w="1695" w:type="dxa"/>
            <w:vAlign w:val="center"/>
          </w:tcPr>
          <w:p>
            <w:pPr>
              <w:spacing w:line="300" w:lineRule="exact"/>
              <w:jc w:val="center"/>
              <w:rPr>
                <w:rFonts w:ascii="Times New Roman" w:hAnsi="Times New Roman" w:eastAsia="仿宋_GB2312"/>
                <w:szCs w:val="21"/>
                <w:highlight w:val="none"/>
                <w:shd w:val="clear" w:color="auto" w:fill="FFFFFF"/>
              </w:rPr>
            </w:pPr>
            <w:r>
              <w:rPr>
                <w:rFonts w:ascii="Times New Roman" w:hAnsi="Times New Roman" w:eastAsia="仿宋_GB2312"/>
                <w:szCs w:val="21"/>
                <w:highlight w:val="none"/>
                <w:shd w:val="clear" w:color="auto" w:fill="FFFFFF"/>
              </w:rPr>
              <w:t>《中华人民共和国生物安全法》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2021-04-15</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本项目涉及到生物实验室的使用、人兽共患病的防治，需满足《中华人民共和国生物安全法》的规定。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《中华人民共和国传染病防治法》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2013-06-29</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项目涉及人兽共患病的科研与防治，需满足《中华人民共和国传染病防治法》的要求。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3</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《中华人民共和国动物防疫法》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2015-04-24</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涉及到动物检疫的活动需要遵循此法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4</w:t>
            </w:r>
          </w:p>
        </w:tc>
        <w:tc>
          <w:tcPr>
            <w:tcW w:w="1695" w:type="dxa"/>
            <w:vAlign w:val="center"/>
          </w:tcPr>
          <w:p>
            <w:pPr>
              <w:spacing w:line="300" w:lineRule="exact"/>
              <w:jc w:val="center"/>
              <w:rPr>
                <w:rFonts w:ascii="Times New Roman" w:hAnsi="Times New Roman" w:eastAsia="仿宋_GB2312"/>
                <w:szCs w:val="21"/>
                <w:highlight w:val="none"/>
                <w:shd w:val="clear" w:color="auto" w:fill="FFFFFF"/>
              </w:rPr>
            </w:pPr>
            <w:r>
              <w:rPr>
                <w:rFonts w:ascii="Times New Roman" w:hAnsi="Times New Roman" w:eastAsia="仿宋_GB2312"/>
                <w:szCs w:val="21"/>
                <w:highlight w:val="none"/>
                <w:shd w:val="clear" w:color="auto" w:fill="FFFFFF"/>
              </w:rPr>
              <w:t>《病原微生物实验室生物安全管理条例》</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2004-11-12</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在进行生物安全实验室管理时，关注病原微生物问题，需要参照本条例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hint="eastAsia" w:ascii="Times New Roman" w:hAnsi="Times New Roman" w:eastAsia="仿宋_GB2312"/>
                <w:szCs w:val="21"/>
                <w:highlight w:val="none"/>
              </w:rPr>
              <w:t>5</w:t>
            </w:r>
          </w:p>
        </w:tc>
        <w:tc>
          <w:tcPr>
            <w:tcW w:w="1695" w:type="dxa"/>
            <w:vAlign w:val="center"/>
          </w:tcPr>
          <w:p>
            <w:pPr>
              <w:spacing w:line="300" w:lineRule="exact"/>
              <w:jc w:val="center"/>
              <w:rPr>
                <w:rFonts w:ascii="Times New Roman" w:hAnsi="Times New Roman" w:eastAsia="仿宋_GB2312"/>
                <w:szCs w:val="21"/>
                <w:highlight w:val="none"/>
                <w:shd w:val="clear" w:color="auto" w:fill="FFFFFF"/>
              </w:rPr>
            </w:pPr>
            <w:r>
              <w:rPr>
                <w:rFonts w:hint="eastAsia" w:ascii="Times New Roman" w:hAnsi="Times New Roman" w:eastAsia="仿宋_GB2312"/>
                <w:szCs w:val="21"/>
                <w:highlight w:val="none"/>
                <w:shd w:val="clear" w:color="auto" w:fill="FFFFFF"/>
              </w:rPr>
              <w:t>《实验室风险管理指南》</w:t>
            </w:r>
          </w:p>
        </w:tc>
        <w:tc>
          <w:tcPr>
            <w:tcW w:w="0" w:type="auto"/>
            <w:vAlign w:val="center"/>
          </w:tcPr>
          <w:p>
            <w:pPr>
              <w:spacing w:line="300" w:lineRule="exact"/>
              <w:jc w:val="center"/>
              <w:rPr>
                <w:rFonts w:ascii="Times New Roman" w:hAnsi="Times New Roman" w:eastAsia="仿宋_GB2312"/>
                <w:szCs w:val="21"/>
                <w:highlight w:val="none"/>
              </w:rPr>
            </w:pPr>
            <w:r>
              <w:rPr>
                <w:rFonts w:hint="eastAsia" w:ascii="Times New Roman" w:hAnsi="Times New Roman" w:eastAsia="仿宋_GB2312"/>
                <w:szCs w:val="21"/>
                <w:highlight w:val="none"/>
              </w:rPr>
              <w:t>2023-03-09</w:t>
            </w:r>
          </w:p>
        </w:tc>
        <w:tc>
          <w:tcPr>
            <w:tcW w:w="0" w:type="auto"/>
            <w:vAlign w:val="center"/>
          </w:tcPr>
          <w:p>
            <w:pPr>
              <w:spacing w:line="300" w:lineRule="exact"/>
              <w:jc w:val="left"/>
              <w:rPr>
                <w:rFonts w:ascii="Times New Roman" w:hAnsi="Times New Roman" w:eastAsia="仿宋_GB2312"/>
                <w:szCs w:val="21"/>
                <w:highlight w:val="none"/>
              </w:rPr>
            </w:pPr>
            <w:r>
              <w:rPr>
                <w:rFonts w:hint="eastAsia" w:ascii="Times New Roman" w:hAnsi="Times New Roman" w:eastAsia="仿宋_GB2312"/>
                <w:szCs w:val="21"/>
                <w:highlight w:val="none"/>
              </w:rPr>
              <w:t>实验室风险管理参考文件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pPr>
              <w:spacing w:line="360" w:lineRule="auto"/>
              <w:jc w:val="center"/>
              <w:rPr>
                <w:rFonts w:ascii="Times New Roman" w:hAnsi="Times New Roman" w:eastAsia="仿宋_GB2312"/>
                <w:b/>
                <w:szCs w:val="21"/>
                <w:highlight w:val="none"/>
              </w:rPr>
            </w:pPr>
            <w:r>
              <w:rPr>
                <w:rFonts w:ascii="Times New Roman" w:hAnsi="Times New Roman" w:eastAsia="仿宋_GB2312"/>
                <w:b/>
                <w:szCs w:val="21"/>
                <w:highlight w:val="none"/>
              </w:rPr>
              <w:t>三、职业健康安全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《中华人民共和国劳动法》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2018-12-29</w:t>
            </w:r>
          </w:p>
        </w:tc>
        <w:tc>
          <w:tcPr>
            <w:tcW w:w="0" w:type="auto"/>
            <w:vMerge w:val="restart"/>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科研人员应该受到《中华人民共和国劳动法》，《中华人民共和国安全生产法》的保护。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《中华人民共和国安全生产法》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2014-12-01</w:t>
            </w:r>
          </w:p>
        </w:tc>
        <w:tc>
          <w:tcPr>
            <w:tcW w:w="0" w:type="auto"/>
            <w:vMerge w:val="continue"/>
            <w:vAlign w:val="center"/>
          </w:tcPr>
          <w:p>
            <w:pPr>
              <w:spacing w:line="300" w:lineRule="exact"/>
              <w:jc w:val="left"/>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3</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《中华人民共和国职业病防治法》</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2016-09-01</w:t>
            </w:r>
          </w:p>
        </w:tc>
        <w:tc>
          <w:tcPr>
            <w:tcW w:w="0" w:type="auto"/>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项目涉及到的各个职业人员均需依照本法进行职业工作活动，预防、控制和消除职业病危害，防治职业病，保护劳动者健康及其相关权益。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4</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《用人单位职业病防治指南》</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2010-08-01</w:t>
            </w:r>
          </w:p>
        </w:tc>
        <w:tc>
          <w:tcPr>
            <w:tcW w:w="0" w:type="auto"/>
            <w:vMerge w:val="restart"/>
            <w:vAlign w:val="center"/>
          </w:tcPr>
          <w:p>
            <w:pPr>
              <w:spacing w:line="300" w:lineRule="exact"/>
              <w:jc w:val="left"/>
              <w:rPr>
                <w:rFonts w:ascii="Times New Roman" w:hAnsi="Times New Roman" w:eastAsia="仿宋_GB2312"/>
                <w:szCs w:val="21"/>
                <w:highlight w:val="none"/>
              </w:rPr>
            </w:pPr>
            <w:r>
              <w:rPr>
                <w:rFonts w:ascii="Times New Roman" w:hAnsi="Times New Roman" w:eastAsia="仿宋_GB2312"/>
                <w:szCs w:val="21"/>
                <w:highlight w:val="none"/>
              </w:rPr>
              <w:t>中国OHS风险管理的方法和技术指南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5</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《职业健康安全管理体系要求及使用指南》</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2018-03-12</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6</w:t>
            </w:r>
          </w:p>
        </w:tc>
        <w:tc>
          <w:tcPr>
            <w:tcW w:w="1695" w:type="dxa"/>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《职业病危害项目申报办法》</w:t>
            </w:r>
          </w:p>
        </w:tc>
        <w:tc>
          <w:tcPr>
            <w:tcW w:w="0" w:type="auto"/>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2012-06-01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7</w:t>
            </w:r>
          </w:p>
        </w:tc>
        <w:tc>
          <w:tcPr>
            <w:tcW w:w="1695" w:type="dxa"/>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《职业性接触毒物危害程度分级》</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2010-11-01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8</w:t>
            </w:r>
          </w:p>
        </w:tc>
        <w:tc>
          <w:tcPr>
            <w:tcW w:w="1695" w:type="dxa"/>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《工作场所有害因素职业接触限值-化学有害因素》</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2007-11-01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9</w:t>
            </w:r>
          </w:p>
        </w:tc>
        <w:tc>
          <w:tcPr>
            <w:tcW w:w="1695" w:type="dxa"/>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《工作场所有害因素职业接触限值-物理因素》</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2007-11-01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10</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 xml:space="preserve">《生产安全事故应急预案管理办法》 </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2009-05-01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11</w:t>
            </w:r>
          </w:p>
        </w:tc>
        <w:tc>
          <w:tcPr>
            <w:tcW w:w="1695" w:type="dxa"/>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《生产安全事故报告和调查处理条例》</w:t>
            </w:r>
          </w:p>
        </w:tc>
        <w:tc>
          <w:tcPr>
            <w:tcW w:w="0" w:type="auto"/>
            <w:vAlign w:val="center"/>
          </w:tcPr>
          <w:p>
            <w:pPr>
              <w:spacing w:line="300" w:lineRule="exact"/>
              <w:jc w:val="center"/>
              <w:rPr>
                <w:rFonts w:ascii="Times New Roman" w:hAnsi="Times New Roman" w:eastAsia="仿宋_GB2312"/>
                <w:szCs w:val="21"/>
                <w:highlight w:val="none"/>
              </w:rPr>
            </w:pPr>
            <w:r>
              <w:rPr>
                <w:rFonts w:ascii="Times New Roman" w:hAnsi="Times New Roman" w:eastAsia="仿宋_GB2312"/>
                <w:szCs w:val="21"/>
                <w:highlight w:val="none"/>
              </w:rPr>
              <w:t>2007-06-01</w:t>
            </w:r>
          </w:p>
        </w:tc>
        <w:tc>
          <w:tcPr>
            <w:tcW w:w="0" w:type="auto"/>
            <w:vMerge w:val="continue"/>
            <w:vAlign w:val="center"/>
          </w:tcPr>
          <w:p>
            <w:pPr>
              <w:spacing w:line="360" w:lineRule="auto"/>
              <w:jc w:val="center"/>
              <w:rPr>
                <w:rFonts w:ascii="Times New Roman" w:hAnsi="Times New Roman" w:eastAsia="仿宋_GB2312"/>
                <w:szCs w:val="21"/>
                <w:highlight w:val="none"/>
              </w:rPr>
            </w:pPr>
          </w:p>
        </w:tc>
      </w:tr>
    </w:tbl>
    <w:p>
      <w:pPr>
        <w:rPr>
          <w:rFonts w:ascii="Times New Roman" w:hAnsi="Times New Roman"/>
          <w:highlight w:val="none"/>
        </w:rPr>
      </w:pPr>
    </w:p>
    <w:p>
      <w:pPr>
        <w:pStyle w:val="5"/>
        <w:snapToGrid w:val="0"/>
        <w:spacing w:before="0" w:after="0" w:line="360" w:lineRule="auto"/>
        <w:rPr>
          <w:rFonts w:ascii="Times New Roman" w:hAnsi="Times New Roman" w:eastAsia="仿宋_GB2312"/>
          <w:szCs w:val="32"/>
          <w:highlight w:val="none"/>
        </w:rPr>
      </w:pPr>
      <w:bookmarkStart w:id="50" w:name="_Toc1742650484"/>
      <w:r>
        <w:rPr>
          <w:rFonts w:ascii="Times New Roman" w:hAnsi="Times New Roman" w:eastAsia="仿宋_GB2312"/>
          <w:szCs w:val="32"/>
          <w:highlight w:val="none"/>
        </w:rPr>
        <w:t>3.2.2 环境方面的政策差异及解决措施</w:t>
      </w:r>
      <w:bookmarkEnd w:id="50"/>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总体而言，本项目活动涉及的世行主要环境政策，中国亦有对应的法律法规对此进行要求。通过对比本项目涉及的世行</w:t>
      </w:r>
      <w:r>
        <w:rPr>
          <w:rFonts w:hint="eastAsia" w:ascii="Times New Roman" w:hAnsi="Times New Roman" w:eastAsia="仿宋_GB2312"/>
          <w:kern w:val="0"/>
          <w:sz w:val="32"/>
          <w:szCs w:val="32"/>
          <w:highlight w:val="none"/>
        </w:rPr>
        <w:t>环境标准</w:t>
      </w:r>
      <w:r>
        <w:rPr>
          <w:rFonts w:ascii="Times New Roman" w:hAnsi="Times New Roman" w:eastAsia="仿宋_GB2312"/>
          <w:kern w:val="0"/>
          <w:sz w:val="32"/>
          <w:szCs w:val="32"/>
          <w:highlight w:val="none"/>
        </w:rPr>
        <w:t>与国内相关法律法规可以得出，在建设项目的环境影响评价要求方面，国内要求与世界银行相关</w:t>
      </w:r>
      <w:r>
        <w:rPr>
          <w:rFonts w:hint="eastAsia" w:ascii="Times New Roman" w:hAnsi="Times New Roman" w:eastAsia="仿宋_GB2312"/>
          <w:kern w:val="0"/>
          <w:sz w:val="32"/>
          <w:szCs w:val="32"/>
          <w:highlight w:val="none"/>
        </w:rPr>
        <w:t>环境</w:t>
      </w:r>
      <w:r>
        <w:rPr>
          <w:rFonts w:ascii="Times New Roman" w:hAnsi="Times New Roman" w:eastAsia="仿宋_GB2312"/>
          <w:kern w:val="0"/>
          <w:sz w:val="32"/>
          <w:szCs w:val="32"/>
          <w:highlight w:val="none"/>
        </w:rPr>
        <w:t>政策和环境健康安全管理要求并无明显的实质性的差异，结合本项目特点，</w:t>
      </w:r>
      <w:r>
        <w:rPr>
          <w:rFonts w:hint="eastAsia" w:ascii="Times New Roman" w:hAnsi="Times New Roman" w:eastAsia="仿宋_GB2312"/>
          <w:kern w:val="0"/>
          <w:sz w:val="32"/>
          <w:szCs w:val="32"/>
          <w:highlight w:val="none"/>
        </w:rPr>
        <w:t>中国现行</w:t>
      </w:r>
      <w:r>
        <w:rPr>
          <w:rFonts w:ascii="Times New Roman" w:hAnsi="Times New Roman" w:eastAsia="仿宋_GB2312"/>
          <w:kern w:val="0"/>
          <w:sz w:val="32"/>
          <w:szCs w:val="32"/>
          <w:highlight w:val="none"/>
        </w:rPr>
        <w:t>环境政策法规的差异主要在体现在以下几个方面：</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环评分类管理：本项目活动不涉及土建，仅开展仪器设备购置</w:t>
      </w:r>
      <w:r>
        <w:rPr>
          <w:rFonts w:hint="eastAsia" w:ascii="Times New Roman" w:hAnsi="Times New Roman" w:eastAsia="仿宋_GB2312"/>
          <w:kern w:val="0"/>
          <w:sz w:val="32"/>
          <w:szCs w:val="32"/>
          <w:highlight w:val="none"/>
        </w:rPr>
        <w:t>，课题研究</w:t>
      </w:r>
      <w:r>
        <w:rPr>
          <w:rFonts w:ascii="Times New Roman" w:hAnsi="Times New Roman" w:eastAsia="仿宋_GB2312"/>
          <w:kern w:val="0"/>
          <w:sz w:val="32"/>
          <w:szCs w:val="32"/>
          <w:highlight w:val="none"/>
        </w:rPr>
        <w:t>及人员能力提升等内容。对照《建设项目环境影响评价分类管理名录》（2021年1月1日开始生效实施），本项目不需要编制环境影响评价文件，也无其他的环境社会风险管理要求。</w:t>
      </w:r>
      <w:r>
        <w:rPr>
          <w:rFonts w:hint="eastAsia" w:ascii="Times New Roman" w:hAnsi="Times New Roman" w:eastAsia="仿宋_GB2312"/>
          <w:kern w:val="0"/>
          <w:sz w:val="32"/>
          <w:szCs w:val="32"/>
          <w:highlight w:val="none"/>
        </w:rPr>
        <w:t>但从世行角度，考虑到潜在的环境社会风险，编制本环境与社会管理框架。</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公众磋商：本项目活动仅涉及仪器设备购置</w:t>
      </w:r>
      <w:r>
        <w:rPr>
          <w:rFonts w:hint="eastAsia" w:ascii="Times New Roman" w:hAnsi="Times New Roman" w:eastAsia="仿宋_GB2312"/>
          <w:kern w:val="0"/>
          <w:sz w:val="32"/>
          <w:szCs w:val="32"/>
          <w:highlight w:val="none"/>
        </w:rPr>
        <w:t>，课题研究</w:t>
      </w:r>
      <w:r>
        <w:rPr>
          <w:rFonts w:ascii="Times New Roman" w:hAnsi="Times New Roman" w:eastAsia="仿宋_GB2312"/>
          <w:kern w:val="0"/>
          <w:sz w:val="32"/>
          <w:szCs w:val="32"/>
          <w:highlight w:val="none"/>
        </w:rPr>
        <w:t>及人员能力提升等内容，国内不要求编制环评文件，因此不涉及环评环节的公众参与活动。</w:t>
      </w:r>
      <w:r>
        <w:rPr>
          <w:rFonts w:hint="eastAsia" w:ascii="Times New Roman" w:hAnsi="Times New Roman" w:eastAsia="仿宋_GB2312"/>
          <w:kern w:val="0"/>
          <w:sz w:val="32"/>
          <w:szCs w:val="32"/>
          <w:highlight w:val="none"/>
        </w:rPr>
        <w:t>但从世行角度，考虑到潜在的环境社会风险，编制了利益相关者参与计划。</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总体上，对于本框架涉及的世行主要政策，中国亦有对应的法律法规对此进行要求，有相关环境保护法律法规进行规范和约束，加之对国际组织资料的借鉴，世行要求与中国法律法规要求基本一致，本框架已全面兼顾了相关要求。</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51" w:name="_Toc589960105"/>
      <w:r>
        <w:rPr>
          <w:rFonts w:ascii="Times New Roman" w:hAnsi="Times New Roman" w:eastAsia="楷体_GB2312"/>
          <w:bCs w:val="0"/>
          <w:highlight w:val="none"/>
        </w:rPr>
        <w:t xml:space="preserve"> 国内社会相关的法律法规政策框架</w:t>
      </w:r>
      <w:bookmarkEnd w:id="51"/>
    </w:p>
    <w:p>
      <w:pPr>
        <w:pStyle w:val="5"/>
        <w:snapToGrid w:val="0"/>
        <w:spacing w:before="0" w:after="0" w:line="360" w:lineRule="auto"/>
        <w:rPr>
          <w:rFonts w:ascii="Times New Roman" w:hAnsi="Times New Roman" w:eastAsia="仿宋_GB2312"/>
          <w:szCs w:val="32"/>
          <w:highlight w:val="none"/>
        </w:rPr>
      </w:pPr>
      <w:bookmarkStart w:id="52" w:name="_Toc103259687"/>
      <w:r>
        <w:rPr>
          <w:rFonts w:ascii="Times New Roman" w:hAnsi="Times New Roman" w:eastAsia="仿宋_GB2312"/>
          <w:szCs w:val="32"/>
          <w:highlight w:val="none"/>
        </w:rPr>
        <w:t>3.3.1 社会管理政策体系</w:t>
      </w:r>
      <w:bookmarkEnd w:id="52"/>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中国建立了系统的社会管理体系：主要包括对针对项目社会风险的管理体系，包括项目征地拆迁管理体系、少数民族的管理体系、劳工管理体系，以及信息公开体系。项目社会风险管理体系要求，项目必须符合大多数群众的根本利益诉求，对重大决策、重大固定资产投资项目等进行社会稳定风险评估。</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中国项目社会稳定风险评估建立了完善的管理机构。项目单位负责编制或委托咨询机构编制社会稳定风险评估分析报告；由项目所在地人民政府应该审查和评价项目单位做出的社会稳定风险分析开展评估论证，提出社会稳定风险评估报告。</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劳工风险管理：用人单位聘任工作人员时，都按照平等自愿、协商一致的原则，与其签订书面聘任合同，确定双方的权利和义务。严格遵守《中华人民共和国劳动法》(2018年修订)和《劳动合同法》(2012年修订)以及中华人民共和国《女职工劳动保护特别规定》。法律规定工资分配应当遵循按劳分配、同工同酬原则。劳动者每周工作时间不得超过44小时，平均每天不得超过8小时。未成年工人（16-18岁）不能参与加班工作。以及在用人单位与劳动者就劳动合同的基本条款和条件或其他工作方面发生争议时，劳动者可以自行解决争议等等，这</w:t>
      </w:r>
      <w:r>
        <w:rPr>
          <w:rFonts w:hint="eastAsia" w:ascii="Times New Roman" w:hAnsi="Times New Roman" w:eastAsia="仿宋_GB2312"/>
          <w:kern w:val="0"/>
          <w:sz w:val="32"/>
          <w:szCs w:val="32"/>
          <w:highlight w:val="none"/>
        </w:rPr>
        <w:t>基本</w:t>
      </w:r>
      <w:r>
        <w:rPr>
          <w:rFonts w:ascii="Times New Roman" w:hAnsi="Times New Roman" w:eastAsia="仿宋_GB2312"/>
          <w:kern w:val="0"/>
          <w:sz w:val="32"/>
          <w:szCs w:val="32"/>
          <w:highlight w:val="none"/>
        </w:rPr>
        <w:t>符合ESS2的相关要求。</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利益相关者参与：《国务院办公厅关于推进重大建设项目批准和实施领域政府信息公开的意见》、《国务院办公厅关于推进公共资源配置领域政府信息公开的意见》以及环境影响评估以及社会稳定风险评估过程中，都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考虑到社会标准在本项目中的相关性，表3-3列举了中国在社会影响方面相关的法律/法规或政策，并与世行ESS进行比较，评估了其一致性和拟采取的补救措施。需要说明的是，表3-3所列仅仅为部分主要相关的法律法规、技术规范和标准。具体适用的法律框架及标准需要在具体项目的社会影响评价中最终确定，并进行详尽的分析，按照要求制定相应的减缓措施。</w:t>
      </w:r>
    </w:p>
    <w:p>
      <w:pPr>
        <w:snapToGrid w:val="0"/>
        <w:spacing w:line="520" w:lineRule="exact"/>
        <w:ind w:firstLine="560" w:firstLineChars="200"/>
        <w:jc w:val="center"/>
        <w:rPr>
          <w:rFonts w:ascii="Times New Roman" w:hAnsi="Times New Roman" w:eastAsia="黑体"/>
          <w:sz w:val="28"/>
          <w:szCs w:val="28"/>
          <w:highlight w:val="none"/>
        </w:rPr>
      </w:pPr>
      <w:r>
        <w:rPr>
          <w:rFonts w:ascii="Times New Roman" w:hAnsi="Times New Roman" w:eastAsia="黑体"/>
          <w:sz w:val="28"/>
          <w:szCs w:val="28"/>
          <w:highlight w:val="none"/>
        </w:rPr>
        <w:t>表</w:t>
      </w:r>
      <w:r>
        <w:rPr>
          <w:rFonts w:ascii="Times New Roman" w:hAnsi="Times New Roman" w:eastAsia="黑体"/>
          <w:sz w:val="28"/>
          <w:szCs w:val="28"/>
          <w:highlight w:val="none"/>
        </w:rPr>
        <w:fldChar w:fldCharType="begin"/>
      </w:r>
      <w:r>
        <w:rPr>
          <w:rFonts w:ascii="Times New Roman" w:hAnsi="Times New Roman" w:eastAsia="黑体"/>
          <w:sz w:val="28"/>
          <w:szCs w:val="28"/>
          <w:highlight w:val="none"/>
        </w:rPr>
        <w:instrText xml:space="preserve"> STYLEREF 1 \s </w:instrText>
      </w:r>
      <w:r>
        <w:rPr>
          <w:rFonts w:ascii="Times New Roman" w:hAnsi="Times New Roman" w:eastAsia="黑体"/>
          <w:sz w:val="28"/>
          <w:szCs w:val="28"/>
          <w:highlight w:val="none"/>
        </w:rPr>
        <w:fldChar w:fldCharType="separate"/>
      </w:r>
      <w:r>
        <w:rPr>
          <w:rFonts w:ascii="Times New Roman" w:hAnsi="Times New Roman" w:eastAsia="黑体"/>
          <w:sz w:val="28"/>
          <w:szCs w:val="28"/>
          <w:highlight w:val="none"/>
        </w:rPr>
        <w:t>3</w:t>
      </w:r>
      <w:r>
        <w:rPr>
          <w:rFonts w:ascii="Times New Roman" w:hAnsi="Times New Roman" w:eastAsia="黑体"/>
          <w:sz w:val="28"/>
          <w:szCs w:val="28"/>
          <w:highlight w:val="none"/>
        </w:rPr>
        <w:fldChar w:fldCharType="end"/>
      </w:r>
      <w:r>
        <w:rPr>
          <w:rFonts w:ascii="Times New Roman" w:hAnsi="Times New Roman" w:eastAsia="黑体"/>
          <w:sz w:val="28"/>
          <w:szCs w:val="28"/>
          <w:highlight w:val="none"/>
        </w:rPr>
        <w:t>-</w:t>
      </w:r>
      <w:r>
        <w:rPr>
          <w:rFonts w:ascii="Times New Roman" w:hAnsi="Times New Roman" w:eastAsia="黑体"/>
          <w:sz w:val="28"/>
          <w:szCs w:val="28"/>
          <w:highlight w:val="none"/>
        </w:rPr>
        <w:fldChar w:fldCharType="begin"/>
      </w:r>
      <w:r>
        <w:rPr>
          <w:rFonts w:ascii="Times New Roman" w:hAnsi="Times New Roman" w:eastAsia="黑体"/>
          <w:sz w:val="28"/>
          <w:szCs w:val="28"/>
          <w:highlight w:val="none"/>
        </w:rPr>
        <w:instrText xml:space="preserve"> SEQ 表 \* ARABIC \s 1 </w:instrText>
      </w:r>
      <w:r>
        <w:rPr>
          <w:rFonts w:ascii="Times New Roman" w:hAnsi="Times New Roman" w:eastAsia="黑体"/>
          <w:sz w:val="28"/>
          <w:szCs w:val="28"/>
          <w:highlight w:val="none"/>
        </w:rPr>
        <w:fldChar w:fldCharType="separate"/>
      </w:r>
      <w:r>
        <w:rPr>
          <w:rFonts w:ascii="Times New Roman" w:hAnsi="Times New Roman" w:eastAsia="黑体"/>
          <w:sz w:val="28"/>
          <w:szCs w:val="28"/>
          <w:highlight w:val="none"/>
        </w:rPr>
        <w:t>3</w:t>
      </w:r>
      <w:r>
        <w:rPr>
          <w:rFonts w:ascii="Times New Roman" w:hAnsi="Times New Roman" w:eastAsia="黑体"/>
          <w:sz w:val="28"/>
          <w:szCs w:val="28"/>
          <w:highlight w:val="none"/>
        </w:rPr>
        <w:fldChar w:fldCharType="end"/>
      </w:r>
      <w:bookmarkStart w:id="53" w:name="_Toc26380"/>
      <w:r>
        <w:rPr>
          <w:rFonts w:ascii="Times New Roman" w:hAnsi="Times New Roman" w:eastAsia="黑体"/>
          <w:sz w:val="28"/>
          <w:szCs w:val="28"/>
          <w:highlight w:val="none"/>
        </w:rPr>
        <w:t xml:space="preserve"> 适用的国内社会管理法律法规</w:t>
      </w:r>
      <w:bookmarkEnd w:id="53"/>
    </w:p>
    <w:tbl>
      <w:tblPr>
        <w:tblStyle w:val="2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559"/>
        <w:gridCol w:w="1055"/>
        <w:gridCol w:w="4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372" w:type="pct"/>
            <w:vAlign w:val="center"/>
          </w:tcPr>
          <w:p>
            <w:pPr>
              <w:spacing w:before="100" w:beforeAutospacing="1" w:after="100" w:afterAutospacing="1" w:line="240" w:lineRule="exact"/>
              <w:rPr>
                <w:rFonts w:ascii="Times New Roman" w:hAnsi="Times New Roman" w:eastAsia="黑体"/>
                <w:sz w:val="24"/>
                <w:szCs w:val="24"/>
                <w:highlight w:val="none"/>
              </w:rPr>
            </w:pPr>
            <w:r>
              <w:rPr>
                <w:rFonts w:ascii="Times New Roman" w:hAnsi="Times New Roman" w:eastAsia="黑体"/>
                <w:sz w:val="24"/>
                <w:szCs w:val="24"/>
                <w:highlight w:val="none"/>
              </w:rPr>
              <w:t>序号</w:t>
            </w:r>
          </w:p>
        </w:tc>
        <w:tc>
          <w:tcPr>
            <w:tcW w:w="1504" w:type="pct"/>
            <w:vAlign w:val="center"/>
          </w:tcPr>
          <w:p>
            <w:pPr>
              <w:spacing w:before="100" w:beforeAutospacing="1" w:after="100" w:afterAutospacing="1"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名称</w:t>
            </w:r>
          </w:p>
        </w:tc>
        <w:tc>
          <w:tcPr>
            <w:tcW w:w="620" w:type="pct"/>
            <w:vAlign w:val="center"/>
          </w:tcPr>
          <w:p>
            <w:pPr>
              <w:spacing w:before="100" w:beforeAutospacing="1" w:after="100" w:afterAutospacing="1"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版本</w:t>
            </w:r>
          </w:p>
        </w:tc>
        <w:tc>
          <w:tcPr>
            <w:tcW w:w="2503" w:type="pct"/>
            <w:vAlign w:val="center"/>
          </w:tcPr>
          <w:p>
            <w:pPr>
              <w:spacing w:before="100" w:beforeAutospacing="1" w:after="100" w:afterAutospacing="1" w:line="240" w:lineRule="exact"/>
              <w:jc w:val="center"/>
              <w:rPr>
                <w:rFonts w:ascii="Times New Roman" w:hAnsi="Times New Roman" w:eastAsia="黑体"/>
                <w:sz w:val="24"/>
                <w:szCs w:val="24"/>
                <w:highlight w:val="none"/>
              </w:rPr>
            </w:pPr>
            <w:r>
              <w:rPr>
                <w:rFonts w:ascii="Times New Roman" w:hAnsi="Times New Roman" w:eastAsia="黑体"/>
                <w:sz w:val="24"/>
                <w:szCs w:val="24"/>
                <w:highlight w:val="none"/>
              </w:rPr>
              <w:t>相关性分析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4"/>
            <w:vAlign w:val="center"/>
          </w:tcPr>
          <w:p>
            <w:pPr>
              <w:pStyle w:val="83"/>
              <w:spacing w:before="100" w:beforeAutospacing="1" w:after="100" w:afterAutospacing="1"/>
              <w:ind w:firstLine="0" w:firstLineChars="0"/>
              <w:jc w:val="center"/>
              <w:rPr>
                <w:rFonts w:ascii="Times New Roman" w:hAnsi="Times New Roman" w:eastAsia="仿宋_GB2312"/>
                <w:b/>
                <w:szCs w:val="21"/>
                <w:highlight w:val="none"/>
              </w:rPr>
            </w:pPr>
            <w:r>
              <w:rPr>
                <w:rFonts w:ascii="Times New Roman" w:hAnsi="Times New Roman" w:eastAsia="仿宋_GB2312"/>
                <w:b/>
                <w:szCs w:val="21"/>
                <w:highlight w:val="none"/>
              </w:rPr>
              <w:t>一、劳动管理法律文件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1</w:t>
            </w:r>
          </w:p>
        </w:tc>
        <w:tc>
          <w:tcPr>
            <w:tcW w:w="1504" w:type="pct"/>
            <w:vAlign w:val="center"/>
          </w:tcPr>
          <w:p>
            <w:pPr>
              <w:spacing w:before="100" w:beforeAutospacing="1" w:after="100" w:afterAutospacing="1"/>
              <w:jc w:val="left"/>
              <w:rPr>
                <w:rFonts w:ascii="Times New Roman" w:hAnsi="Times New Roman" w:eastAsia="仿宋_GB2312"/>
                <w:iCs/>
                <w:szCs w:val="21"/>
                <w:highlight w:val="none"/>
              </w:rPr>
            </w:pPr>
            <w:r>
              <w:rPr>
                <w:rFonts w:ascii="Times New Roman" w:hAnsi="Times New Roman" w:eastAsia="仿宋_GB2312"/>
                <w:iCs/>
                <w:szCs w:val="21"/>
                <w:highlight w:val="none"/>
              </w:rPr>
              <w:t>《中华人民共和国劳动法》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2018年修订</w:t>
            </w:r>
          </w:p>
        </w:tc>
        <w:tc>
          <w:tcPr>
            <w:tcW w:w="2503" w:type="pct"/>
            <w:vAlign w:val="center"/>
          </w:tcPr>
          <w:p>
            <w:pPr>
              <w:rPr>
                <w:rFonts w:ascii="Times New Roman" w:hAnsi="Times New Roman" w:eastAsia="仿宋_GB2312"/>
                <w:szCs w:val="21"/>
                <w:highlight w:val="none"/>
              </w:rPr>
            </w:pPr>
            <w:r>
              <w:rPr>
                <w:rFonts w:ascii="Times New Roman" w:hAnsi="Times New Roman" w:eastAsia="仿宋_GB2312"/>
                <w:szCs w:val="21"/>
                <w:highlight w:val="none"/>
              </w:rPr>
              <w:t>在中华人民共和国境内的企业、个体经济组织（以下统称用人单位）和与之形成劳动关系的劳动者，适用本法。　国家机关、事业组织、社会团体和与之建立劳动合同关系的劳动者，依照本法执行。</w:t>
            </w:r>
          </w:p>
          <w:p>
            <w:pPr>
              <w:rPr>
                <w:rFonts w:ascii="Times New Roman" w:hAnsi="Times New Roman" w:eastAsia="仿宋_GB2312"/>
                <w:szCs w:val="21"/>
                <w:highlight w:val="none"/>
              </w:rPr>
            </w:pPr>
            <w:r>
              <w:rPr>
                <w:rFonts w:ascii="Times New Roman" w:hAnsi="Times New Roman" w:eastAsia="仿宋_GB2312"/>
                <w:szCs w:val="21"/>
                <w:highlight w:val="none"/>
              </w:rPr>
              <w:t>中国的劳动法明确禁止使用强迫劳动，并宣布任何强迫劳动合同都是非法的。 它还明确规定，对劳动力使用武力、威胁或非法限制人身自由，或以侮辱、体罚、殴打、非法搜查/拘留等方式使用劳动力，均应受到刑事指控。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372" w:type="pct"/>
            <w:vMerge w:val="restar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2</w:t>
            </w:r>
          </w:p>
        </w:tc>
        <w:tc>
          <w:tcPr>
            <w:tcW w:w="1504" w:type="pct"/>
            <w:vAlign w:val="center"/>
          </w:tcPr>
          <w:p>
            <w:pPr>
              <w:spacing w:before="100" w:beforeAutospacing="1" w:after="100" w:afterAutospacing="1"/>
              <w:jc w:val="left"/>
              <w:rPr>
                <w:rFonts w:ascii="Times New Roman" w:hAnsi="Times New Roman" w:eastAsia="仿宋_GB2312"/>
                <w:iCs/>
                <w:szCs w:val="21"/>
                <w:highlight w:val="none"/>
              </w:rPr>
            </w:pPr>
            <w:r>
              <w:rPr>
                <w:rFonts w:ascii="Times New Roman" w:hAnsi="Times New Roman" w:eastAsia="仿宋_GB2312"/>
                <w:iCs/>
                <w:szCs w:val="21"/>
                <w:highlight w:val="none"/>
              </w:rPr>
              <w:t>《中华人民共和国劳动法》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2018年修订</w:t>
            </w:r>
          </w:p>
        </w:tc>
        <w:tc>
          <w:tcPr>
            <w:tcW w:w="2503" w:type="pct"/>
            <w:vMerge w:val="restart"/>
            <w:vAlign w:val="center"/>
          </w:tcPr>
          <w:p>
            <w:pPr>
              <w:rPr>
                <w:rFonts w:ascii="Times New Roman" w:hAnsi="Times New Roman" w:eastAsia="仿宋_GB2312"/>
                <w:szCs w:val="21"/>
                <w:highlight w:val="none"/>
              </w:rPr>
            </w:pPr>
            <w:r>
              <w:rPr>
                <w:rFonts w:ascii="Times New Roman" w:hAnsi="Times New Roman" w:eastAsia="仿宋_GB2312"/>
                <w:szCs w:val="21"/>
                <w:highlight w:val="none"/>
              </w:rPr>
              <w:t>中国的劳动法规定建立劳动关系应当订立劳动合同，劳动者与用人单位确立劳动关系、明确双方权利和义务。</w:t>
            </w:r>
          </w:p>
          <w:p>
            <w:pPr>
              <w:rPr>
                <w:rFonts w:ascii="Times New Roman" w:hAnsi="Times New Roman" w:eastAsia="仿宋_GB2312"/>
                <w:szCs w:val="21"/>
                <w:highlight w:val="none"/>
              </w:rPr>
            </w:pPr>
            <w:r>
              <w:rPr>
                <w:rFonts w:ascii="Times New Roman" w:hAnsi="Times New Roman" w:eastAsia="仿宋_GB2312"/>
                <w:szCs w:val="21"/>
                <w:highlight w:val="none"/>
              </w:rPr>
              <w:t>用人单位招用劳动者时，应当如实告知劳动者工作内容、工作条件、工作地点、职业危害、安全生产状况、劳动报酬等情况。</w:t>
            </w:r>
          </w:p>
          <w:p>
            <w:pPr>
              <w:rPr>
                <w:rFonts w:ascii="Times New Roman" w:hAnsi="Times New Roman" w:eastAsia="仿宋_GB2312"/>
                <w:szCs w:val="21"/>
                <w:highlight w:val="none"/>
              </w:rPr>
            </w:pPr>
            <w:r>
              <w:rPr>
                <w:rFonts w:ascii="Times New Roman" w:hAnsi="Times New Roman" w:eastAsia="仿宋_GB2312"/>
                <w:szCs w:val="21"/>
                <w:highlight w:val="none"/>
              </w:rPr>
              <w:t>用人单位在制定、修改或者决定直接涉及劳动者切身利益的规章制度或者重大事项时，应当经职工代表大会或者全体职工讨论，与工会或者职工代表平等协商确定。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Merge w:val="continue"/>
            <w:vAlign w:val="center"/>
          </w:tcPr>
          <w:p>
            <w:pPr>
              <w:spacing w:before="100" w:beforeAutospacing="1" w:after="100" w:afterAutospacing="1"/>
              <w:rPr>
                <w:rFonts w:ascii="Times New Roman" w:hAnsi="Times New Roman" w:eastAsia="仿宋_GB2312"/>
                <w:szCs w:val="21"/>
                <w:highlight w:val="none"/>
              </w:rPr>
            </w:pPr>
          </w:p>
        </w:tc>
        <w:tc>
          <w:tcPr>
            <w:tcW w:w="1504" w:type="pct"/>
            <w:vAlign w:val="center"/>
          </w:tcPr>
          <w:p>
            <w:pPr>
              <w:spacing w:before="100" w:beforeAutospacing="1" w:after="100" w:afterAutospacing="1"/>
              <w:jc w:val="left"/>
              <w:rPr>
                <w:rFonts w:ascii="Times New Roman" w:hAnsi="Times New Roman" w:eastAsia="仿宋_GB2312"/>
                <w:iCs/>
                <w:szCs w:val="21"/>
                <w:highlight w:val="none"/>
              </w:rPr>
            </w:pPr>
            <w:r>
              <w:rPr>
                <w:rFonts w:ascii="Times New Roman" w:hAnsi="Times New Roman" w:eastAsia="仿宋_GB2312"/>
                <w:iCs/>
                <w:szCs w:val="21"/>
                <w:highlight w:val="none"/>
              </w:rPr>
              <w:t>《中华人民共和国劳动合同法》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2012年修订</w:t>
            </w:r>
          </w:p>
        </w:tc>
        <w:tc>
          <w:tcPr>
            <w:tcW w:w="2503" w:type="pct"/>
            <w:vMerge w:val="continue"/>
            <w:vAlign w:val="center"/>
          </w:tcPr>
          <w:p>
            <w:pPr>
              <w:snapToGrid w:val="0"/>
              <w:spacing w:before="100" w:beforeAutospacing="1" w:after="100" w:afterAutospacing="1"/>
              <w:rPr>
                <w:rFonts w:ascii="Times New Roman" w:hAnsi="Times New Roman" w:eastAsia="仿宋_GB2312"/>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3</w:t>
            </w:r>
          </w:p>
        </w:tc>
        <w:tc>
          <w:tcPr>
            <w:tcW w:w="1504" w:type="pct"/>
            <w:vAlign w:val="center"/>
          </w:tcPr>
          <w:p>
            <w:pPr>
              <w:spacing w:before="100" w:beforeAutospacing="1" w:after="100" w:afterAutospacing="1"/>
              <w:jc w:val="left"/>
              <w:rPr>
                <w:rFonts w:ascii="Times New Roman" w:hAnsi="Times New Roman" w:eastAsia="仿宋_GB2312"/>
                <w:iCs/>
                <w:szCs w:val="21"/>
                <w:highlight w:val="none"/>
              </w:rPr>
            </w:pPr>
            <w:r>
              <w:rPr>
                <w:rFonts w:ascii="Times New Roman" w:hAnsi="Times New Roman" w:eastAsia="仿宋_GB2312"/>
                <w:iCs/>
                <w:szCs w:val="21"/>
                <w:highlight w:val="none"/>
              </w:rPr>
              <w:t>国务院《劳动保障监察条例》</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2018年修订</w:t>
            </w:r>
          </w:p>
        </w:tc>
        <w:tc>
          <w:tcPr>
            <w:tcW w:w="2503" w:type="pct"/>
            <w:vAlign w:val="center"/>
          </w:tcPr>
          <w:p>
            <w:pPr>
              <w:rPr>
                <w:rFonts w:ascii="Times New Roman" w:hAnsi="Times New Roman" w:eastAsia="仿宋_GB2312"/>
                <w:szCs w:val="21"/>
                <w:highlight w:val="none"/>
              </w:rPr>
            </w:pPr>
            <w:r>
              <w:rPr>
                <w:rFonts w:ascii="Times New Roman" w:hAnsi="Times New Roman" w:eastAsia="仿宋_GB2312"/>
                <w:szCs w:val="21"/>
                <w:highlight w:val="none"/>
              </w:rPr>
              <w:t>中国有完善的劳动争议调解制度，通过正式工会制度下的企业委员会进行调解。工人也可以直接通过劳动局提出申诉。</w:t>
            </w:r>
          </w:p>
          <w:p>
            <w:pPr>
              <w:rPr>
                <w:rFonts w:ascii="Times New Roman" w:hAnsi="Times New Roman" w:eastAsia="仿宋_GB2312"/>
                <w:szCs w:val="21"/>
                <w:highlight w:val="none"/>
              </w:rPr>
            </w:pPr>
            <w:r>
              <w:rPr>
                <w:rFonts w:ascii="Times New Roman" w:hAnsi="Times New Roman" w:eastAsia="仿宋_GB2312"/>
                <w:szCs w:val="21"/>
                <w:highlight w:val="none"/>
              </w:rPr>
              <w:t>对企业、个体工商户、民办非企业单位（以下统称用人单位）实施劳动保障监察；对职业介绍机构、职业技能培训机构和职业技能考核鉴定机构进行劳动保障监察。</w:t>
            </w:r>
          </w:p>
          <w:p>
            <w:pPr>
              <w:rPr>
                <w:rFonts w:ascii="Times New Roman" w:hAnsi="Times New Roman" w:eastAsia="仿宋_GB2312"/>
                <w:szCs w:val="21"/>
                <w:highlight w:val="none"/>
              </w:rPr>
            </w:pPr>
            <w:r>
              <w:rPr>
                <w:rFonts w:ascii="Times New Roman" w:hAnsi="Times New Roman" w:eastAsia="仿宋_GB2312"/>
                <w:szCs w:val="21"/>
                <w:highlight w:val="none"/>
              </w:rPr>
              <w:t>对用人单位的劳动保障监察，由用人单位用工行为所在地的县（市、区）或者设区的市人力资源社会保障主管部门管辖。</w:t>
            </w:r>
          </w:p>
          <w:p>
            <w:pPr>
              <w:rPr>
                <w:rFonts w:ascii="Times New Roman" w:hAnsi="Times New Roman" w:eastAsia="仿宋_GB2312"/>
                <w:szCs w:val="21"/>
                <w:highlight w:val="none"/>
              </w:rPr>
            </w:pPr>
            <w:r>
              <w:rPr>
                <w:rFonts w:ascii="Times New Roman" w:hAnsi="Times New Roman" w:eastAsia="仿宋_GB2312"/>
                <w:szCs w:val="21"/>
                <w:highlight w:val="none"/>
              </w:rPr>
              <w:t>劳动保障监察采取日常巡视检查、书面审查、专项检查、举报投诉调查等形式。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4</w:t>
            </w:r>
          </w:p>
        </w:tc>
        <w:tc>
          <w:tcPr>
            <w:tcW w:w="1504"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《中华人民共和国职业病防治法》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2018年修订</w:t>
            </w:r>
          </w:p>
        </w:tc>
        <w:tc>
          <w:tcPr>
            <w:tcW w:w="2503"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在我国，根据劳动法律制度，有100多条职业安全和疾病防治技术规范和标准。 这些技术规范和标准是根据行业最佳做法制定的，或者是根据行业最佳做法更新的。包括要求用人单位建立完整的职业健康安全体系，严格执行各项有关职业卫生安全措施和标准，对职工进行职业健康安全培训。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5</w:t>
            </w:r>
          </w:p>
        </w:tc>
        <w:tc>
          <w:tcPr>
            <w:tcW w:w="1504"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《中华人民共和国工会法》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2009年</w:t>
            </w:r>
          </w:p>
        </w:tc>
        <w:tc>
          <w:tcPr>
            <w:tcW w:w="2503"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中国法律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6</w:t>
            </w:r>
          </w:p>
        </w:tc>
        <w:tc>
          <w:tcPr>
            <w:tcW w:w="1504"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《中华人民共和国妇女权益保障法》</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2018年修订</w:t>
            </w:r>
          </w:p>
        </w:tc>
        <w:tc>
          <w:tcPr>
            <w:tcW w:w="2503"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要求对妇女和儿童给予特别保护，禁止一系列危险的工作岗位雇用妇女和儿童工人。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7</w:t>
            </w:r>
          </w:p>
        </w:tc>
        <w:tc>
          <w:tcPr>
            <w:tcW w:w="1504"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中华人民共和国《女职工劳动保护特别规定》</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2012年</w:t>
            </w:r>
          </w:p>
        </w:tc>
        <w:tc>
          <w:tcPr>
            <w:tcW w:w="2503" w:type="pct"/>
            <w:vAlign w:val="center"/>
          </w:tcPr>
          <w:p>
            <w:pPr>
              <w:rPr>
                <w:rFonts w:ascii="Times New Roman" w:hAnsi="Times New Roman" w:eastAsia="仿宋_GB2312"/>
                <w:szCs w:val="21"/>
                <w:highlight w:val="none"/>
              </w:rPr>
            </w:pPr>
            <w:r>
              <w:rPr>
                <w:rFonts w:ascii="Times New Roman" w:hAnsi="Times New Roman" w:eastAsia="仿宋_GB2312"/>
                <w:szCs w:val="21"/>
                <w:highlight w:val="none"/>
              </w:rPr>
              <w:t>国家法律规定保障妇女享有与男子平等的劳动权利和社会保障权利。在劳动报酬方面，实行男女同工同酬。</w:t>
            </w:r>
          </w:p>
          <w:p>
            <w:pPr>
              <w:rPr>
                <w:rFonts w:ascii="Times New Roman" w:hAnsi="Times New Roman" w:eastAsia="仿宋_GB2312"/>
                <w:szCs w:val="21"/>
                <w:highlight w:val="none"/>
              </w:rPr>
            </w:pPr>
            <w:r>
              <w:rPr>
                <w:rFonts w:ascii="Times New Roman" w:hAnsi="Times New Roman" w:eastAsia="仿宋_GB2312"/>
                <w:szCs w:val="21"/>
                <w:highlight w:val="none"/>
              </w:rPr>
              <w:t>任何单位均应根据妇女的特点，依法保护妇女在工作和劳动时的安全和健康，不得安排不适合妇女从事的工作和劳动。 妇女在经期、孕期、产期、哺乳期受特殊保护。</w:t>
            </w:r>
          </w:p>
          <w:p>
            <w:pPr>
              <w:rPr>
                <w:rFonts w:ascii="Times New Roman" w:hAnsi="Times New Roman" w:eastAsia="仿宋_GB2312"/>
                <w:szCs w:val="21"/>
                <w:highlight w:val="none"/>
              </w:rPr>
            </w:pPr>
            <w:r>
              <w:rPr>
                <w:rFonts w:ascii="Times New Roman" w:hAnsi="Times New Roman" w:eastAsia="仿宋_GB2312"/>
                <w:szCs w:val="21"/>
                <w:highlight w:val="none"/>
              </w:rPr>
              <w:t>用人单位应当结合本单位劳动生产特点，预防和制止对女职工的性骚扰；在处理女职工性骚扰申诉时，应当依法保护女职工的个人隐私。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8</w:t>
            </w:r>
          </w:p>
        </w:tc>
        <w:tc>
          <w:tcPr>
            <w:tcW w:w="1504"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人力资源社会保障部办公厅《关于妥善处理新型冠状病毒感染的肺炎疫情防控期间劳动关系问题的通知》</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rPr>
              <w:t>2020年</w:t>
            </w:r>
          </w:p>
        </w:tc>
        <w:tc>
          <w:tcPr>
            <w:tcW w:w="2503" w:type="pct"/>
            <w:vAlign w:val="center"/>
          </w:tcPr>
          <w:p>
            <w:pPr>
              <w:snapToGrid w:val="0"/>
              <w:rPr>
                <w:rFonts w:ascii="Times New Roman" w:hAnsi="Times New Roman" w:eastAsia="仿宋_GB2312"/>
                <w:szCs w:val="21"/>
                <w:highlight w:val="none"/>
              </w:rPr>
            </w:pPr>
            <w:r>
              <w:rPr>
                <w:rFonts w:ascii="Times New Roman" w:hAnsi="Times New Roman" w:eastAsia="仿宋_GB2312"/>
                <w:szCs w:val="21"/>
                <w:highlight w:val="none"/>
              </w:rPr>
              <w:t>中国颁布的通知要求，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40条、41条与职工解除劳动合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rPr>
            </w:pPr>
            <w:r>
              <w:rPr>
                <w:rFonts w:ascii="Times New Roman" w:hAnsi="Times New Roman" w:eastAsia="仿宋_GB2312"/>
                <w:szCs w:val="21"/>
                <w:highlight w:val="none"/>
              </w:rPr>
              <w:t>9</w:t>
            </w:r>
          </w:p>
        </w:tc>
        <w:tc>
          <w:tcPr>
            <w:tcW w:w="1504" w:type="pct"/>
            <w:vAlign w:val="center"/>
          </w:tcPr>
          <w:p>
            <w:pPr>
              <w:adjustRightInd w:val="0"/>
              <w:snapToGrid w:val="0"/>
              <w:spacing w:before="60" w:after="60"/>
              <w:rPr>
                <w:rFonts w:ascii="Times New Roman" w:hAnsi="Times New Roman" w:eastAsia="仿宋_GB2312"/>
                <w:iCs/>
                <w:szCs w:val="21"/>
                <w:highlight w:val="none"/>
              </w:rPr>
            </w:pPr>
            <w:r>
              <w:rPr>
                <w:rFonts w:ascii="Times New Roman" w:hAnsi="Times New Roman" w:eastAsia="仿宋_GB2312"/>
                <w:kern w:val="0"/>
                <w:szCs w:val="21"/>
                <w:highlight w:val="none"/>
                <w:lang w:bidi="en-US"/>
              </w:rPr>
              <w:t>《青岛省人力资源和社会保障厅关于进一步加强新型冠状病毒感染的肺炎疫情防控及劳动保障工作的紧急通知》</w:t>
            </w:r>
          </w:p>
        </w:tc>
        <w:tc>
          <w:tcPr>
            <w:tcW w:w="620" w:type="pct"/>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szCs w:val="21"/>
                <w:highlight w:val="none"/>
                <w:lang w:bidi="en-US"/>
              </w:rPr>
              <w:t>2020年</w:t>
            </w:r>
          </w:p>
        </w:tc>
        <w:tc>
          <w:tcPr>
            <w:tcW w:w="2503" w:type="pct"/>
            <w:vAlign w:val="center"/>
          </w:tcPr>
          <w:p>
            <w:pPr>
              <w:rPr>
                <w:rFonts w:ascii="Times New Roman" w:hAnsi="Times New Roman" w:eastAsia="仿宋_GB2312"/>
                <w:szCs w:val="21"/>
                <w:highlight w:val="none"/>
              </w:rPr>
            </w:pPr>
            <w:r>
              <w:rPr>
                <w:rFonts w:ascii="Times New Roman" w:hAnsi="Times New Roman" w:eastAsia="仿宋_GB2312"/>
                <w:szCs w:val="21"/>
                <w:highlight w:val="none"/>
              </w:rPr>
              <w:t>对直接参与国内传染病类突发公共卫生事件现场调查处置、患者救治、口岸检疫、动物防疫等各类一线工作的人员发放传染病疫情防治人员临时性工作补助。</w:t>
            </w:r>
          </w:p>
          <w:p>
            <w:pPr>
              <w:rPr>
                <w:rFonts w:ascii="Times New Roman" w:hAnsi="Times New Roman" w:eastAsia="仿宋_GB2312"/>
                <w:szCs w:val="21"/>
                <w:highlight w:val="none"/>
              </w:rPr>
            </w:pPr>
            <w:r>
              <w:rPr>
                <w:rFonts w:ascii="Times New Roman" w:hAnsi="Times New Roman" w:eastAsia="仿宋_GB2312"/>
                <w:szCs w:val="21"/>
                <w:highlight w:val="none"/>
              </w:rPr>
              <w:t>对在肺炎防控工作中，医护及相关工作人员因履行工作职责，感染新型冠状病毒肺炎或因感染新型冠状病毒肺炎死亡的，在第一时间内根据规定认定工伤，落实各项工伤保险待遇。</w:t>
            </w:r>
          </w:p>
          <w:p>
            <w:pPr>
              <w:rPr>
                <w:rFonts w:ascii="Times New Roman" w:hAnsi="Times New Roman" w:eastAsia="仿宋_GB2312"/>
                <w:szCs w:val="21"/>
                <w:highlight w:val="none"/>
              </w:rPr>
            </w:pPr>
            <w:r>
              <w:rPr>
                <w:rFonts w:ascii="Times New Roman" w:hAnsi="Times New Roman" w:eastAsia="仿宋_GB2312"/>
                <w:szCs w:val="21"/>
                <w:highlight w:val="none"/>
              </w:rPr>
              <w:t>企业应当支付职工隔离治疗期间或医学观察期间的工作报酬；不得依据劳动合同法第四十条、四十一条与职工解除劳动合同；劳动合同到期的顺延至职工医疗期期满、医学观察期期满、隔离期期满或者政府采取的紧急措施结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before="100" w:beforeAutospacing="1" w:after="100" w:afterAutospacing="1"/>
              <w:jc w:val="center"/>
              <w:rPr>
                <w:rFonts w:ascii="Times New Roman" w:hAnsi="Times New Roman" w:eastAsia="仿宋_GB2312"/>
                <w:szCs w:val="21"/>
                <w:highlight w:val="none"/>
              </w:rPr>
            </w:pPr>
            <w:r>
              <w:rPr>
                <w:rFonts w:ascii="Times New Roman" w:hAnsi="Times New Roman" w:eastAsia="仿宋_GB2312"/>
                <w:b/>
                <w:bCs/>
                <w:szCs w:val="21"/>
                <w:highlight w:val="none"/>
              </w:rPr>
              <w:t>二、信息公开相关政策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1</w:t>
            </w:r>
          </w:p>
        </w:tc>
        <w:tc>
          <w:tcPr>
            <w:tcW w:w="1504"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《国务院办公厅关于推进重大建设项目批准和实施领域政府信息公开的意见》</w:t>
            </w:r>
          </w:p>
        </w:tc>
        <w:tc>
          <w:tcPr>
            <w:tcW w:w="620" w:type="pct"/>
            <w:vAlign w:val="center"/>
          </w:tcPr>
          <w:p>
            <w:pPr>
              <w:spacing w:before="100" w:beforeAutospacing="1" w:after="100" w:afterAutospacing="1"/>
              <w:jc w:val="center"/>
              <w:rPr>
                <w:rFonts w:ascii="Times New Roman" w:hAnsi="Times New Roman" w:eastAsia="仿宋_GB2312"/>
                <w:szCs w:val="21"/>
                <w:highlight w:val="none"/>
                <w:lang w:bidi="en-US"/>
              </w:rPr>
            </w:pPr>
            <w:r>
              <w:rPr>
                <w:rFonts w:ascii="Times New Roman" w:hAnsi="Times New Roman" w:eastAsia="仿宋_GB2312"/>
                <w:szCs w:val="21"/>
                <w:highlight w:val="none"/>
                <w:lang w:bidi="en-US"/>
              </w:rPr>
              <w:t>2017年</w:t>
            </w:r>
          </w:p>
        </w:tc>
        <w:tc>
          <w:tcPr>
            <w:tcW w:w="2503" w:type="pct"/>
            <w:vAlign w:val="center"/>
          </w:tcPr>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全面推进政务公开，要求把公众参与、专家论证、风险评估、合法性审查、集体讨论决定确定为重大行政决策法定程序。实行重大决策预公开制度，推进决策公开、执行公开、管理公开、服务公开、结果公开、重点领域信息公开。</w:t>
            </w:r>
          </w:p>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推进政府数据开放，加强政策解读，扩大公众参与。把政务公开工作纳入绩效考核体系，鼓励支持第三方机构对政务公开质量和效果进行独立公正的评估。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2</w:t>
            </w:r>
          </w:p>
        </w:tc>
        <w:tc>
          <w:tcPr>
            <w:tcW w:w="1504"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《国务院办公厅关于推进公共资源配置领域政府信息公开的意见》</w:t>
            </w:r>
          </w:p>
        </w:tc>
        <w:tc>
          <w:tcPr>
            <w:tcW w:w="620" w:type="pct"/>
            <w:vAlign w:val="center"/>
          </w:tcPr>
          <w:p>
            <w:pPr>
              <w:spacing w:before="100" w:beforeAutospacing="1" w:after="100" w:afterAutospacing="1"/>
              <w:jc w:val="center"/>
              <w:rPr>
                <w:rFonts w:ascii="Times New Roman" w:hAnsi="Times New Roman" w:eastAsia="仿宋_GB2312"/>
                <w:szCs w:val="21"/>
                <w:highlight w:val="none"/>
                <w:lang w:bidi="en-US"/>
              </w:rPr>
            </w:pPr>
            <w:r>
              <w:rPr>
                <w:rFonts w:ascii="Times New Roman" w:hAnsi="Times New Roman" w:eastAsia="仿宋_GB2312"/>
                <w:szCs w:val="21"/>
                <w:highlight w:val="none"/>
                <w:lang w:bidi="en-US"/>
              </w:rPr>
              <w:t>2016年</w:t>
            </w:r>
          </w:p>
        </w:tc>
        <w:tc>
          <w:tcPr>
            <w:tcW w:w="2503" w:type="pct"/>
            <w:vAlign w:val="center"/>
          </w:tcPr>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3</w:t>
            </w:r>
          </w:p>
        </w:tc>
        <w:tc>
          <w:tcPr>
            <w:tcW w:w="1504"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《信访条例》</w:t>
            </w:r>
          </w:p>
        </w:tc>
        <w:tc>
          <w:tcPr>
            <w:tcW w:w="620" w:type="pct"/>
            <w:vAlign w:val="center"/>
          </w:tcPr>
          <w:p>
            <w:pPr>
              <w:spacing w:before="100" w:beforeAutospacing="1" w:after="100" w:afterAutospacing="1"/>
              <w:jc w:val="center"/>
              <w:rPr>
                <w:rFonts w:ascii="Times New Roman" w:hAnsi="Times New Roman" w:eastAsia="仿宋_GB2312"/>
                <w:szCs w:val="21"/>
                <w:highlight w:val="none"/>
                <w:lang w:bidi="en-US"/>
              </w:rPr>
            </w:pPr>
            <w:r>
              <w:rPr>
                <w:rFonts w:ascii="Times New Roman" w:hAnsi="Times New Roman" w:eastAsia="仿宋_GB2312"/>
                <w:szCs w:val="21"/>
                <w:highlight w:val="none"/>
                <w:lang w:bidi="en-US"/>
              </w:rPr>
              <w:t>2005年</w:t>
            </w:r>
          </w:p>
        </w:tc>
        <w:tc>
          <w:tcPr>
            <w:tcW w:w="2503" w:type="pct"/>
            <w:vAlign w:val="center"/>
          </w:tcPr>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pPr>
              <w:snapToGrid w:val="0"/>
              <w:spacing w:line="260" w:lineRule="atLeast"/>
              <w:rPr>
                <w:rFonts w:ascii="Times New Roman" w:hAnsi="Times New Roman" w:eastAsia="仿宋_GB2312"/>
                <w:szCs w:val="21"/>
                <w:highlight w:val="none"/>
              </w:rPr>
            </w:pPr>
            <w:r>
              <w:rPr>
                <w:rFonts w:ascii="Times New Roman" w:hAnsi="Times New Roman" w:eastAsia="仿宋_GB2312"/>
                <w:szCs w:val="21"/>
                <w:highlight w:val="none"/>
              </w:rPr>
              <w:t>县级以上人民政府信访工作机构收到信访事项，应当予以登记，并区分情况。有关行政机关应当自收到转送、交办的信访事项之日起15日内决定是否受理并书面告知信访人，并按要求通报信访工作机构。信访事项应当自受理之日起60日内办结；情况复杂的，可以适当延长办理期限，但延长期限不得超过30日，并告知信访人延期理由。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4</w:t>
            </w:r>
          </w:p>
        </w:tc>
        <w:tc>
          <w:tcPr>
            <w:tcW w:w="1504" w:type="pct"/>
            <w:vAlign w:val="center"/>
          </w:tcPr>
          <w:p>
            <w:pPr>
              <w:spacing w:before="100" w:beforeAutospacing="1" w:after="100" w:afterAutospacing="1"/>
              <w:rPr>
                <w:rFonts w:ascii="Times New Roman" w:hAnsi="Times New Roman" w:eastAsia="仿宋_GB2312"/>
                <w:szCs w:val="21"/>
                <w:highlight w:val="none"/>
                <w:lang w:bidi="en-US"/>
              </w:rPr>
            </w:pPr>
            <w:r>
              <w:rPr>
                <w:rFonts w:ascii="Times New Roman" w:hAnsi="Times New Roman" w:eastAsia="仿宋_GB2312"/>
                <w:szCs w:val="21"/>
                <w:highlight w:val="none"/>
                <w:lang w:bidi="en-US"/>
              </w:rPr>
              <w:t>《中华人民共和国个人信息保护法（草案）》</w:t>
            </w:r>
          </w:p>
        </w:tc>
        <w:tc>
          <w:tcPr>
            <w:tcW w:w="620" w:type="pct"/>
            <w:vAlign w:val="center"/>
          </w:tcPr>
          <w:p>
            <w:pPr>
              <w:spacing w:before="100" w:beforeAutospacing="1" w:after="100" w:afterAutospacing="1"/>
              <w:jc w:val="center"/>
              <w:rPr>
                <w:rFonts w:ascii="Times New Roman" w:hAnsi="Times New Roman" w:eastAsia="仿宋_GB2312"/>
                <w:szCs w:val="21"/>
                <w:highlight w:val="none"/>
                <w:lang w:bidi="en-US"/>
              </w:rPr>
            </w:pPr>
            <w:r>
              <w:rPr>
                <w:rFonts w:ascii="Times New Roman" w:hAnsi="Times New Roman" w:eastAsia="仿宋_GB2312"/>
                <w:szCs w:val="21"/>
                <w:highlight w:val="none"/>
                <w:lang w:bidi="en-US"/>
              </w:rPr>
              <w:t>2020</w:t>
            </w:r>
            <w:r>
              <w:rPr>
                <w:rFonts w:ascii="Times New Roman" w:hAnsi="Times New Roman" w:eastAsia="仿宋_GB2312"/>
                <w:szCs w:val="21"/>
                <w:highlight w:val="none"/>
              </w:rPr>
              <w:t>年</w:t>
            </w:r>
          </w:p>
        </w:tc>
        <w:tc>
          <w:tcPr>
            <w:tcW w:w="2503" w:type="pct"/>
            <w:vAlign w:val="center"/>
          </w:tcPr>
          <w:p>
            <w:pPr>
              <w:snapToGrid w:val="0"/>
              <w:rPr>
                <w:rFonts w:ascii="Times New Roman" w:hAnsi="Times New Roman" w:eastAsia="仿宋_GB2312"/>
                <w:szCs w:val="21"/>
                <w:highlight w:val="none"/>
              </w:rPr>
            </w:pPr>
            <w:r>
              <w:rPr>
                <w:rFonts w:ascii="Times New Roman" w:hAnsi="Times New Roman" w:eastAsia="仿宋_GB2312"/>
                <w:szCs w:val="21"/>
                <w:highlight w:val="none"/>
              </w:rPr>
              <w:t>处理个人信息应当采用合法、正当的方式,遵循诚信原则,不得通过欺诈、误导等方式处理个人信息。处理个人信息应当具有明确、合理的目的,并应当限于实现处理目的的最小范围,不得进行与处理目的无关的个人信息处理。 个人信息处理者应当对其个人信息处理活动负责,并采取必要措施保障所处理的个人信息的安全。</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个人信息处理者在处理个人信息前,应当以显著方式、清晰易懂的语言向个人告知下列事项:</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(一)个人信息处理者的身份和联系方式;</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(二)个人信息的处理目的、处理方式,处理的个人信息种类、保存期限;</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(三)个人行使本法规定权利的方式和程序;</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(四)法律、行政法规规定应当告知的其他事项。</w:t>
            </w:r>
          </w:p>
          <w:p>
            <w:pPr>
              <w:snapToGrid w:val="0"/>
              <w:rPr>
                <w:rFonts w:ascii="Times New Roman" w:hAnsi="Times New Roman" w:eastAsia="仿宋_GB2312"/>
                <w:szCs w:val="21"/>
                <w:highlight w:val="none"/>
              </w:rPr>
            </w:pPr>
            <w:r>
              <w:rPr>
                <w:rFonts w:ascii="Times New Roman" w:hAnsi="Times New Roman" w:eastAsia="仿宋_GB2312"/>
                <w:szCs w:val="21"/>
                <w:highlight w:val="none"/>
              </w:rPr>
              <w:t>前款规定事项发生变更的,应当将变更部分告知个人。个人信息处理者通过制定个人信息处理规则的方式告知第一款规定事项的,处理规则应当公开,并且便于查阅和保存。</w:t>
            </w:r>
          </w:p>
        </w:tc>
      </w:tr>
    </w:tbl>
    <w:p>
      <w:pPr>
        <w:pStyle w:val="2"/>
        <w:rPr>
          <w:rFonts w:ascii="Times New Roman" w:hAnsi="Times New Roman"/>
          <w:highlight w:val="none"/>
        </w:rPr>
      </w:pPr>
    </w:p>
    <w:p>
      <w:pPr>
        <w:pStyle w:val="5"/>
        <w:snapToGrid w:val="0"/>
        <w:spacing w:before="0" w:after="0" w:line="360" w:lineRule="auto"/>
        <w:rPr>
          <w:rFonts w:ascii="Times New Roman" w:hAnsi="Times New Roman" w:eastAsia="仿宋_GB2312"/>
          <w:szCs w:val="32"/>
          <w:highlight w:val="none"/>
        </w:rPr>
      </w:pPr>
      <w:bookmarkStart w:id="54" w:name="_Toc50324723"/>
      <w:bookmarkEnd w:id="54"/>
      <w:bookmarkStart w:id="55" w:name="_Toc51248583"/>
      <w:bookmarkEnd w:id="55"/>
      <w:bookmarkStart w:id="56" w:name="_Toc51248969"/>
      <w:bookmarkEnd w:id="56"/>
      <w:bookmarkStart w:id="57" w:name="_Toc51249083"/>
      <w:bookmarkEnd w:id="57"/>
      <w:bookmarkStart w:id="58" w:name="_Toc50325852"/>
      <w:bookmarkEnd w:id="58"/>
      <w:bookmarkStart w:id="59" w:name="_Toc953771734"/>
      <w:r>
        <w:rPr>
          <w:rFonts w:ascii="Times New Roman" w:hAnsi="Times New Roman" w:eastAsia="仿宋_GB2312"/>
          <w:szCs w:val="32"/>
          <w:highlight w:val="none"/>
        </w:rPr>
        <w:t>3.3.2 社会方面的政策差异及解决措施</w:t>
      </w:r>
      <w:bookmarkEnd w:id="59"/>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中国投资项目的社会风险管理体系目标与世行的社会保障政策是一致的，都是为了实现项目的社会发展目标，减缓项目的社会风险。但针对项目的社会保障文件的要求也有其差异性。</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中国社会稳定风险评估与ESS1的的社会影响评价的要求部分一致。中国社会稳定风险评估更加关注项目建设与决策带来的社会稳定风险，但对社会的包容性及可持续性管理等关注较少。为了加强对本项目社会管理，实现项目的社会目标，通过项目的建设，促进社会公平、社会包容以及社会可持续发展，项目办承诺将按照本框架来执行对投资子项目的社会管理。</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劳工管理方面，中国的劳工政策和法规要求雇主在公司管理层面对劳动合同、工作时间和休息休假、工资、劳动安全卫生、女职工和未成年工人特殊保护、劳动争议等方面有详细的要求。然而，相关政策及法规没有要求按照世行标准（ESS2）对项目层面的工人进行分类风险识别和管理，也没有要求在项目层面编制劳工管理程序（LMP）。根据项目的性质，项目工人主要为设备安装工人及科研人员。项目办以及咨询机构一般都有按照规定建立的劳工管理办法以及员工申诉机制。青岛市政府建立了完善劳动监察管理机制。但是项目中涉及的检测实验室是一个潜在的危险工作场所，使其工作人员面临各种危险，特别是在新发传染病（EID）爆发期间的感染风险。因此，需要编制劳工管理程序</w:t>
      </w:r>
      <w:r>
        <w:rPr>
          <w:rFonts w:hint="eastAsia" w:ascii="Times New Roman" w:hAnsi="Times New Roman" w:eastAsia="仿宋_GB2312"/>
          <w:kern w:val="0"/>
          <w:sz w:val="32"/>
          <w:szCs w:val="32"/>
          <w:highlight w:val="none"/>
        </w:rPr>
        <w:t>，识别劳工的工作场所风险并制定管控措施</w:t>
      </w:r>
      <w:r>
        <w:rPr>
          <w:rFonts w:ascii="Times New Roman" w:hAnsi="Times New Roman" w:eastAsia="仿宋_GB2312"/>
          <w:kern w:val="0"/>
          <w:sz w:val="32"/>
          <w:szCs w:val="32"/>
          <w:highlight w:val="none"/>
        </w:rPr>
        <w:t>。</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项目办将在《环境与社会承诺计划》（ESCP）中承诺在项目实施过程中遵循ESS2的要求，并将各子项目的劳工管理风险纳入环境与社会监测内容进行跟踪监测。</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公众参与方面，中国政策和实践对早期的参与较为关注，但在整个过程中的利益相关方参与没有明确要求。中国政策与实施没有要求项目层面制定并实施利益相关者参与计划（SEP），描述在整个项目生命周期中与利益相关者接触的时间和方法。因此，在项目准备过程中，制定了利益相关方参与计划（SEP）。一旦项目活动确定后，项目办及项目实施机构将按照SEP的要求开展信息公开和公众磋商；向利益相关方提供及时、相关、可理解和可访问的信息，并与他们充分的协商。利益相关方参与计划将尤其关注弱势群体（如老人、低收入人群、少数民族等）以及妇女的需求。</w:t>
      </w:r>
    </w:p>
    <w:p>
      <w:pPr>
        <w:pStyle w:val="3"/>
        <w:numPr>
          <w:ilvl w:val="0"/>
          <w:numId w:val="2"/>
        </w:numPr>
        <w:snapToGrid w:val="0"/>
        <w:spacing w:before="0" w:after="0"/>
        <w:ind w:left="0" w:firstLine="0"/>
        <w:rPr>
          <w:rFonts w:ascii="Times New Roman" w:hAnsi="Times New Roman" w:eastAsia="黑体"/>
          <w:b w:val="0"/>
          <w:bCs w:val="0"/>
          <w:sz w:val="32"/>
          <w:szCs w:val="32"/>
          <w:highlight w:val="none"/>
        </w:rPr>
      </w:pPr>
      <w:bookmarkStart w:id="60" w:name="_Toc22823853"/>
      <w:bookmarkStart w:id="61" w:name="_Toc2052311800"/>
      <w:r>
        <w:rPr>
          <w:rFonts w:ascii="Times New Roman" w:hAnsi="Times New Roman" w:eastAsia="黑体"/>
          <w:b w:val="0"/>
          <w:bCs w:val="0"/>
          <w:sz w:val="32"/>
          <w:szCs w:val="32"/>
          <w:highlight w:val="none"/>
        </w:rPr>
        <w:t>环境和社会风险的</w:t>
      </w:r>
      <w:bookmarkEnd w:id="60"/>
      <w:r>
        <w:rPr>
          <w:rFonts w:ascii="Times New Roman" w:hAnsi="Times New Roman" w:eastAsia="黑体"/>
          <w:b w:val="0"/>
          <w:bCs w:val="0"/>
          <w:sz w:val="32"/>
          <w:szCs w:val="32"/>
          <w:highlight w:val="none"/>
        </w:rPr>
        <w:t>识别与管理</w:t>
      </w:r>
      <w:bookmarkEnd w:id="61"/>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62" w:name="_Toc828944111"/>
      <w:r>
        <w:rPr>
          <w:rFonts w:ascii="Times New Roman" w:hAnsi="Times New Roman" w:eastAsia="楷体_GB2312"/>
          <w:bCs w:val="0"/>
          <w:highlight w:val="none"/>
        </w:rPr>
        <w:t xml:space="preserve"> 环境和社会效益</w:t>
      </w:r>
      <w:bookmarkEnd w:id="62"/>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世界银行“预防、准备与应对新发传染病项目”农业农村部子项目是一项全球战略，旨在扩大人类、动物和环境卫生保健各方面的跨学科合作和交流，是在共享的环境中构建人类、动物和环境和谐共处的健康方法；是在新形势下解决人类面临复杂和突出的健康问题的有益实践；是在新常态下推行可持续发展国策、建设生态文明、实现美丽中国梦的重要抓手；是在生态全球化下探索人与自然和谐发展、落实联合国2030年可持续发展议程的重要探索。</w:t>
      </w:r>
    </w:p>
    <w:p>
      <w:pPr>
        <w:pStyle w:val="40"/>
        <w:spacing w:line="360" w:lineRule="auto"/>
        <w:ind w:firstLine="64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实施，可提升中国动物卫生与流行病学中心在“人病兽防”方面的技术支撑能力，发挥良好的示范引领作用。项目可产出新型防控技术和标准物质产品，培养出近万名基层防疫人员和养殖从业人员，将有助于提升国家对人兽共患病防控能力和水平，促进畜牧业高质量发展，提升畜禽肉蛋奶产品质量安全水平，降低畜禽源性人兽共患病感染率，对保障动物及动物产品安全、公共卫生安全、生态环境安全，乃至维护和谐稳定发展局面具有十分积极和重要意义。</w:t>
      </w:r>
    </w:p>
    <w:p>
      <w:pPr>
        <w:widowControl/>
        <w:snapToGrid w:val="0"/>
        <w:spacing w:line="360" w:lineRule="auto"/>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通过项目实施，有助于降低畜禽感染病死数量，从而降低病死畜禽处理的环境影响；此外，将有助于减少抗生素、消毒剂等药物的使用，从而降低人造药物对生态环境的负面影响，实现对人兽共患疾病及其他健康威胁的“早发现”、“早预警”、“早处置”，推进整体防控“关口前移”，强化动物福利，促进人、动物、环境的和谐共生，最终建成具有全球引领示范意义的治理体系，提升人民健康水平，促进社会长治久安，保障经济稳定发展，努力走在世界前列，为打造人类健康共同体提供中国特色社会主义实践范例。</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63" w:name="_Toc1496010672"/>
      <w:r>
        <w:rPr>
          <w:rFonts w:ascii="Times New Roman" w:hAnsi="Times New Roman" w:eastAsia="楷体_GB2312"/>
          <w:bCs w:val="0"/>
          <w:highlight w:val="none"/>
        </w:rPr>
        <w:t xml:space="preserve"> 潜在的环境和社会风险识别</w:t>
      </w:r>
      <w:bookmarkEnd w:id="63"/>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重点提升实验室检测能力，防控技术和产品创新研发能力，人才队伍建设能力，开展项目管理及监测评估。本身不涉及任何土建工程等实际工程内容，因此没有直接的环境与社会风险和影响,但需要考虑活动涉及的间接环境社会影响。结合世界银行的现行环境社会政策要求以及项目活动的性质特点,本次项目支持的活动可具体分类分析如下:</w:t>
      </w:r>
    </w:p>
    <w:p>
      <w:pPr>
        <w:widowControl/>
        <w:snapToGrid w:val="0"/>
        <w:spacing w:line="360" w:lineRule="auto"/>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设备采购（</w:t>
      </w:r>
      <w:r>
        <w:rPr>
          <w:rFonts w:ascii="Times New Roman" w:hAnsi="Times New Roman" w:eastAsia="仿宋_GB2312"/>
          <w:b/>
          <w:sz w:val="32"/>
          <w:szCs w:val="32"/>
          <w:highlight w:val="none"/>
        </w:rPr>
        <w:t>Goods</w:t>
      </w:r>
      <w:r>
        <w:rPr>
          <w:rFonts w:hint="eastAsia" w:ascii="Times New Roman" w:hAnsi="Times New Roman" w:eastAsia="仿宋_GB2312"/>
          <w:b/>
          <w:sz w:val="32"/>
          <w:szCs w:val="32"/>
          <w:highlight w:val="none"/>
        </w:rPr>
        <w:t>）：</w:t>
      </w:r>
    </w:p>
    <w:p>
      <w:pPr>
        <w:pStyle w:val="64"/>
        <w:widowControl/>
        <w:numPr>
          <w:ilvl w:val="0"/>
          <w:numId w:val="3"/>
        </w:numPr>
        <w:snapToGrid w:val="0"/>
        <w:spacing w:line="360" w:lineRule="auto"/>
        <w:ind w:firstLine="420" w:firstLineChars="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支持专业仪器设备的采购工作，例如实验室内专用的检验检测等仪器设备，这类活动是为提高实验室检测能力而进行的，在设备运行使用过程中可能存在科研人员健康与安全风险、实验废物未能妥善处理等潜在的环境与社会风险。</w:t>
      </w:r>
    </w:p>
    <w:p>
      <w:pPr>
        <w:widowControl/>
        <w:snapToGrid w:val="0"/>
        <w:spacing w:line="360" w:lineRule="auto"/>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技术援助（</w:t>
      </w:r>
      <w:r>
        <w:rPr>
          <w:rFonts w:ascii="Times New Roman" w:hAnsi="Times New Roman" w:eastAsia="仿宋_GB2312"/>
          <w:b/>
          <w:sz w:val="32"/>
          <w:szCs w:val="32"/>
          <w:highlight w:val="none"/>
        </w:rPr>
        <w:t>TA</w:t>
      </w:r>
      <w:r>
        <w:rPr>
          <w:rFonts w:hint="eastAsia" w:ascii="Times New Roman" w:hAnsi="Times New Roman" w:eastAsia="仿宋_GB2312"/>
          <w:b/>
          <w:sz w:val="32"/>
          <w:szCs w:val="32"/>
          <w:highlight w:val="none"/>
        </w:rPr>
        <w:t>）：</w:t>
      </w:r>
    </w:p>
    <w:p>
      <w:pPr>
        <w:pStyle w:val="64"/>
        <w:widowControl/>
        <w:numPr>
          <w:ilvl w:val="0"/>
          <w:numId w:val="3"/>
        </w:numPr>
        <w:snapToGrid w:val="0"/>
        <w:spacing w:line="360" w:lineRule="auto"/>
        <w:ind w:firstLine="420" w:firstLineChars="0"/>
        <w:rPr>
          <w:rFonts w:ascii="Times New Roman" w:hAnsi="Times New Roman" w:eastAsia="仿宋_GB2312"/>
          <w:sz w:val="32"/>
          <w:szCs w:val="32"/>
          <w:highlight w:val="none"/>
        </w:rPr>
      </w:pPr>
      <w:r>
        <w:rPr>
          <w:rFonts w:ascii="Times New Roman" w:hAnsi="Times New Roman" w:eastAsia="仿宋_GB2312"/>
          <w:b/>
          <w:sz w:val="32"/>
          <w:szCs w:val="32"/>
          <w:highlight w:val="none"/>
        </w:rPr>
        <w:t>类型I：</w:t>
      </w:r>
      <w:r>
        <w:rPr>
          <w:rFonts w:ascii="Times New Roman" w:hAnsi="Times New Roman" w:eastAsia="仿宋_GB2312"/>
          <w:sz w:val="32"/>
          <w:szCs w:val="32"/>
          <w:highlight w:val="none"/>
        </w:rPr>
        <w:t>支持未来投资项目的各阶段准备工作，例如</w:t>
      </w:r>
      <w:r>
        <w:rPr>
          <w:rFonts w:hint="eastAsia" w:ascii="Times New Roman" w:hAnsi="Times New Roman" w:eastAsia="仿宋_GB2312"/>
          <w:sz w:val="32"/>
          <w:szCs w:val="32"/>
          <w:highlight w:val="none"/>
        </w:rPr>
        <w:t>可研编制、开展项目设计</w:t>
      </w:r>
      <w:r>
        <w:rPr>
          <w:rFonts w:ascii="Times New Roman" w:hAnsi="Times New Roman" w:eastAsia="仿宋_GB2312"/>
          <w:sz w:val="32"/>
          <w:szCs w:val="32"/>
          <w:highlight w:val="none"/>
        </w:rPr>
        <w:t>等，这类活动是为未来具体工程的实施提供准备支持，而后期工程建设运行过程中可能存在环境与社会风险/影响，</w:t>
      </w:r>
      <w:r>
        <w:rPr>
          <w:rFonts w:ascii="Times New Roman" w:hAnsi="Times New Roman" w:eastAsia="仿宋_GB2312"/>
          <w:kern w:val="0"/>
          <w:sz w:val="32"/>
          <w:szCs w:val="32"/>
          <w:highlight w:val="none"/>
        </w:rPr>
        <w:t>如劳工健康与安全风险，以及社区健康与安全风险等。</w:t>
      </w:r>
    </w:p>
    <w:p>
      <w:pPr>
        <w:pStyle w:val="64"/>
        <w:widowControl/>
        <w:numPr>
          <w:ilvl w:val="0"/>
          <w:numId w:val="3"/>
        </w:numPr>
        <w:snapToGrid w:val="0"/>
        <w:spacing w:line="360" w:lineRule="auto"/>
        <w:ind w:firstLine="420" w:firstLineChars="0"/>
        <w:rPr>
          <w:rFonts w:ascii="Times New Roman" w:hAnsi="Times New Roman" w:eastAsia="仿宋_GB2312"/>
          <w:sz w:val="32"/>
          <w:szCs w:val="32"/>
          <w:highlight w:val="none"/>
        </w:rPr>
      </w:pPr>
      <w:r>
        <w:rPr>
          <w:rFonts w:ascii="Times New Roman" w:hAnsi="Times New Roman" w:eastAsia="仿宋_GB2312"/>
          <w:b/>
          <w:sz w:val="32"/>
          <w:szCs w:val="32"/>
          <w:highlight w:val="none"/>
        </w:rPr>
        <w:t>类型II</w:t>
      </w:r>
      <w:r>
        <w:rPr>
          <w:rFonts w:ascii="Times New Roman" w:hAnsi="Times New Roman" w:eastAsia="仿宋_GB2312"/>
          <w:sz w:val="32"/>
          <w:szCs w:val="32"/>
          <w:highlight w:val="none"/>
        </w:rPr>
        <w:t>：支持防控技术、创新产品</w:t>
      </w:r>
      <w:r>
        <w:rPr>
          <w:rFonts w:hint="eastAsia" w:ascii="Times New Roman" w:hAnsi="Times New Roman" w:eastAsia="仿宋_GB2312"/>
          <w:sz w:val="32"/>
          <w:szCs w:val="32"/>
          <w:highlight w:val="none"/>
        </w:rPr>
        <w:t>、技术指南</w:t>
      </w:r>
      <w:r>
        <w:rPr>
          <w:rFonts w:ascii="Times New Roman" w:hAnsi="Times New Roman" w:eastAsia="仿宋_GB2312"/>
          <w:sz w:val="32"/>
          <w:szCs w:val="32"/>
          <w:highlight w:val="none"/>
        </w:rPr>
        <w:t>等相关课题的研究，</w:t>
      </w:r>
      <w:r>
        <w:rPr>
          <w:rFonts w:hint="eastAsia" w:ascii="Times New Roman" w:hAnsi="Times New Roman" w:eastAsia="仿宋_GB2312"/>
          <w:sz w:val="32"/>
          <w:szCs w:val="32"/>
          <w:highlight w:val="none"/>
        </w:rPr>
        <w:t>虽然本项目下此类科研项目旨在加强</w:t>
      </w:r>
      <w:r>
        <w:rPr>
          <w:rFonts w:ascii="Times New Roman" w:hAnsi="Times New Roman" w:eastAsia="仿宋_GB2312"/>
          <w:kern w:val="0"/>
          <w:sz w:val="32"/>
          <w:szCs w:val="32"/>
          <w:highlight w:val="none"/>
        </w:rPr>
        <w:t>人兽共患病预防体系，</w:t>
      </w:r>
      <w:r>
        <w:rPr>
          <w:rFonts w:hint="eastAsia" w:ascii="Times New Roman" w:hAnsi="Times New Roman" w:eastAsia="仿宋_GB2312"/>
          <w:kern w:val="0"/>
          <w:sz w:val="32"/>
          <w:szCs w:val="32"/>
          <w:highlight w:val="none"/>
        </w:rPr>
        <w:t>有利于</w:t>
      </w:r>
      <w:r>
        <w:rPr>
          <w:rFonts w:ascii="Times New Roman" w:hAnsi="Times New Roman" w:eastAsia="仿宋_GB2312"/>
          <w:kern w:val="0"/>
          <w:sz w:val="32"/>
          <w:szCs w:val="32"/>
          <w:highlight w:val="none"/>
        </w:rPr>
        <w:t>促进人、动物、环境的和谐共生，</w:t>
      </w:r>
      <w:r>
        <w:rPr>
          <w:rFonts w:hint="eastAsia" w:ascii="Times New Roman" w:hAnsi="Times New Roman" w:eastAsia="仿宋_GB2312"/>
          <w:kern w:val="0"/>
          <w:sz w:val="32"/>
          <w:szCs w:val="32"/>
          <w:highlight w:val="none"/>
        </w:rPr>
        <w:t>总体预期将产生积极的环境社会效益，但同时</w:t>
      </w:r>
      <w:r>
        <w:rPr>
          <w:rFonts w:ascii="Times New Roman" w:hAnsi="Times New Roman" w:eastAsia="仿宋_GB2312"/>
          <w:sz w:val="32"/>
          <w:szCs w:val="32"/>
          <w:highlight w:val="none"/>
        </w:rPr>
        <w:t>这些防控技术、创新产品的</w:t>
      </w:r>
      <w:r>
        <w:rPr>
          <w:rFonts w:hint="eastAsia" w:ascii="Times New Roman" w:hAnsi="Times New Roman" w:eastAsia="仿宋_GB2312"/>
          <w:sz w:val="32"/>
          <w:szCs w:val="32"/>
          <w:highlight w:val="none"/>
        </w:rPr>
        <w:t>应用也可能对下游的利益相关方造成</w:t>
      </w:r>
      <w:r>
        <w:rPr>
          <w:rFonts w:ascii="Times New Roman" w:hAnsi="Times New Roman" w:eastAsia="仿宋_GB2312"/>
          <w:sz w:val="32"/>
          <w:szCs w:val="32"/>
          <w:highlight w:val="none"/>
        </w:rPr>
        <w:t>潜在的环境与社会影响</w:t>
      </w:r>
      <w:r>
        <w:rPr>
          <w:rFonts w:ascii="Times New Roman" w:hAnsi="Times New Roman" w:eastAsia="仿宋_GB2312"/>
          <w:kern w:val="0"/>
          <w:sz w:val="32"/>
          <w:szCs w:val="32"/>
          <w:highlight w:val="none"/>
        </w:rPr>
        <w:t>。</w:t>
      </w:r>
    </w:p>
    <w:p>
      <w:pPr>
        <w:pStyle w:val="64"/>
        <w:widowControl/>
        <w:numPr>
          <w:ilvl w:val="0"/>
          <w:numId w:val="3"/>
        </w:numPr>
        <w:snapToGrid w:val="0"/>
        <w:spacing w:line="360" w:lineRule="auto"/>
        <w:ind w:firstLine="420" w:firstLineChars="0"/>
        <w:rPr>
          <w:rFonts w:ascii="Times New Roman" w:hAnsi="Times New Roman" w:eastAsia="仿宋_GB2312"/>
          <w:kern w:val="0"/>
          <w:sz w:val="32"/>
          <w:szCs w:val="32"/>
          <w:highlight w:val="none"/>
        </w:rPr>
      </w:pPr>
      <w:r>
        <w:rPr>
          <w:rFonts w:ascii="Times New Roman" w:hAnsi="Times New Roman" w:eastAsia="仿宋_GB2312"/>
          <w:b/>
          <w:sz w:val="32"/>
          <w:szCs w:val="32"/>
          <w:highlight w:val="none"/>
        </w:rPr>
        <w:t>类型III</w:t>
      </w:r>
      <w:r>
        <w:rPr>
          <w:rFonts w:ascii="Times New Roman" w:hAnsi="Times New Roman" w:eastAsia="仿宋_GB2312"/>
          <w:sz w:val="32"/>
          <w:szCs w:val="32"/>
          <w:highlight w:val="none"/>
        </w:rPr>
        <w:t>：针对借款人的能力建设活动</w:t>
      </w:r>
      <w:r>
        <w:rPr>
          <w:rFonts w:hint="eastAsia" w:ascii="Times New Roman" w:hAnsi="Times New Roman" w:eastAsia="仿宋_GB2312"/>
          <w:sz w:val="32"/>
          <w:szCs w:val="32"/>
          <w:highlight w:val="none"/>
        </w:rPr>
        <w:t>，即培训考察活动等</w:t>
      </w:r>
      <w:r>
        <w:rPr>
          <w:rFonts w:ascii="Times New Roman" w:hAnsi="Times New Roman" w:eastAsia="仿宋_GB2312"/>
          <w:kern w:val="0"/>
          <w:sz w:val="32"/>
          <w:szCs w:val="32"/>
          <w:highlight w:val="none"/>
        </w:rPr>
        <w:t>。基于项目目标，本次项目活动下的能力建设活动旨在加强人兽共患病预防体系，因此基本不涉及负面的环境与社会影响。</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本项目内容主要为设备采购、科研、培训，不涉及土建工程，不涉及针对新设备的实验室装修改造工程，也不是其他在建的实验室的关联工程。因此仅涉及上述类型</w:t>
      </w:r>
      <w:r>
        <w:rPr>
          <w:rFonts w:hint="eastAsia" w:ascii="Times New Roman" w:hAnsi="Times New Roman" w:eastAsia="仿宋_GB2312"/>
          <w:sz w:val="32"/>
          <w:szCs w:val="32"/>
          <w:highlight w:val="none"/>
        </w:rPr>
        <w:t>中的设备采购、TA</w:t>
      </w:r>
      <w:r>
        <w:rPr>
          <w:rFonts w:ascii="Times New Roman" w:hAnsi="Times New Roman" w:eastAsia="仿宋_GB2312"/>
          <w:sz w:val="32"/>
          <w:szCs w:val="32"/>
          <w:highlight w:val="none"/>
        </w:rPr>
        <w:t>II和</w:t>
      </w:r>
      <w:r>
        <w:rPr>
          <w:rFonts w:hint="eastAsia" w:ascii="Times New Roman" w:hAnsi="Times New Roman" w:eastAsia="仿宋_GB2312"/>
          <w:sz w:val="32"/>
          <w:szCs w:val="32"/>
          <w:highlight w:val="none"/>
        </w:rPr>
        <w:t>TA</w:t>
      </w:r>
      <w:r>
        <w:rPr>
          <w:rFonts w:ascii="Times New Roman" w:hAnsi="Times New Roman" w:eastAsia="仿宋_GB2312"/>
          <w:sz w:val="32"/>
          <w:szCs w:val="32"/>
          <w:highlight w:val="none"/>
        </w:rPr>
        <w:t>III</w:t>
      </w:r>
      <w:r>
        <w:rPr>
          <w:rFonts w:hint="eastAsia" w:ascii="Times New Roman" w:hAnsi="Times New Roman" w:eastAsia="仿宋_GB2312"/>
          <w:sz w:val="32"/>
          <w:szCs w:val="32"/>
          <w:highlight w:val="none"/>
        </w:rPr>
        <w:t>三类</w:t>
      </w:r>
      <w:r>
        <w:rPr>
          <w:rFonts w:ascii="Times New Roman" w:hAnsi="Times New Roman" w:eastAsia="仿宋_GB2312"/>
          <w:sz w:val="32"/>
          <w:szCs w:val="32"/>
          <w:highlight w:val="none"/>
        </w:rPr>
        <w:t>活动。</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针对各子项的环境社会风险识别，以及拟采用的管理措施和工具详见表4-1</w:t>
      </w:r>
      <w:r>
        <w:rPr>
          <w:rFonts w:hint="eastAsia" w:ascii="Times New Roman" w:hAnsi="Times New Roman" w:eastAsia="仿宋_GB2312"/>
          <w:sz w:val="32"/>
          <w:szCs w:val="32"/>
          <w:highlight w:val="none"/>
        </w:rPr>
        <w:t>，</w:t>
      </w:r>
      <w:r>
        <w:rPr>
          <w:rFonts w:ascii="Times New Roman" w:hAnsi="Times New Roman" w:eastAsia="仿宋_GB2312"/>
          <w:kern w:val="0"/>
          <w:sz w:val="32"/>
          <w:szCs w:val="32"/>
          <w:highlight w:val="none"/>
        </w:rPr>
        <w:t>本次项目活动涉及的环境社会风险属于中等或较低的水平，</w:t>
      </w:r>
      <w:r>
        <w:rPr>
          <w:rFonts w:hint="eastAsia" w:ascii="Times New Roman" w:hAnsi="Times New Roman" w:eastAsia="仿宋_GB2312"/>
          <w:kern w:val="0"/>
          <w:sz w:val="32"/>
          <w:szCs w:val="32"/>
          <w:highlight w:val="none"/>
        </w:rPr>
        <w:t>主要</w:t>
      </w:r>
      <w:r>
        <w:rPr>
          <w:rFonts w:ascii="Times New Roman" w:hAnsi="Times New Roman" w:eastAsia="仿宋_GB2312"/>
          <w:kern w:val="0"/>
          <w:sz w:val="32"/>
          <w:szCs w:val="32"/>
          <w:highlight w:val="none"/>
        </w:rPr>
        <w:t>考虑</w:t>
      </w:r>
      <w:r>
        <w:rPr>
          <w:rFonts w:hint="eastAsia" w:ascii="Times New Roman" w:hAnsi="Times New Roman" w:eastAsia="仿宋_GB2312"/>
          <w:kern w:val="0"/>
          <w:sz w:val="32"/>
          <w:szCs w:val="32"/>
          <w:highlight w:val="none"/>
        </w:rPr>
        <w:t>实验室运行期间，</w:t>
      </w:r>
      <w:r>
        <w:rPr>
          <w:rFonts w:ascii="Times New Roman" w:hAnsi="Times New Roman" w:eastAsia="仿宋_GB2312"/>
          <w:kern w:val="0"/>
          <w:sz w:val="32"/>
          <w:szCs w:val="32"/>
          <w:highlight w:val="none"/>
        </w:rPr>
        <w:t>病原微生物</w:t>
      </w:r>
      <w:r>
        <w:rPr>
          <w:rFonts w:hint="eastAsia" w:ascii="Times New Roman" w:hAnsi="Times New Roman" w:eastAsia="仿宋_GB2312"/>
          <w:kern w:val="0"/>
          <w:sz w:val="32"/>
          <w:szCs w:val="32"/>
          <w:highlight w:val="none"/>
        </w:rPr>
        <w:t>涉及的环境健康安全</w:t>
      </w:r>
      <w:r>
        <w:rPr>
          <w:rFonts w:ascii="Times New Roman" w:hAnsi="Times New Roman" w:eastAsia="仿宋_GB2312"/>
          <w:kern w:val="0"/>
          <w:sz w:val="32"/>
          <w:szCs w:val="32"/>
          <w:highlight w:val="none"/>
        </w:rPr>
        <w:t>风险，</w:t>
      </w:r>
      <w:r>
        <w:rPr>
          <w:rFonts w:hint="eastAsia" w:ascii="Times New Roman" w:hAnsi="Times New Roman" w:eastAsia="仿宋_GB2312"/>
          <w:kern w:val="0"/>
          <w:sz w:val="32"/>
          <w:szCs w:val="32"/>
          <w:highlight w:val="none"/>
        </w:rPr>
        <w:t>以及部分课题研究可能存在的下游潜在环境社会风险</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因此项目总体环境社会风险评级为中等。</w:t>
      </w:r>
    </w:p>
    <w:p>
      <w:pPr>
        <w:snapToGrid w:val="0"/>
        <w:spacing w:line="520" w:lineRule="exact"/>
        <w:rPr>
          <w:rFonts w:ascii="Times New Roman" w:hAnsi="Times New Roman" w:eastAsia="宋体"/>
          <w:sz w:val="24"/>
          <w:szCs w:val="24"/>
          <w:highlight w:val="none"/>
        </w:rPr>
      </w:pPr>
    </w:p>
    <w:p>
      <w:pPr>
        <w:pStyle w:val="2"/>
        <w:rPr>
          <w:rFonts w:ascii="Times New Roman" w:hAnsi="Times New Roman"/>
          <w:highlight w:val="none"/>
        </w:rPr>
        <w:sectPr>
          <w:pgSz w:w="11900" w:h="16838"/>
          <w:pgMar w:top="1440" w:right="1803" w:bottom="1440" w:left="1803" w:header="851" w:footer="680" w:gutter="0"/>
          <w:cols w:space="0" w:num="1"/>
          <w:docGrid w:type="lines" w:linePitch="325" w:charSpace="0"/>
        </w:sectPr>
      </w:pPr>
    </w:p>
    <w:p>
      <w:pPr>
        <w:widowControl/>
        <w:snapToGrid w:val="0"/>
        <w:spacing w:before="162" w:beforeLines="50" w:after="162" w:afterLines="50" w:line="520" w:lineRule="exact"/>
        <w:ind w:left="105" w:leftChars="50"/>
        <w:jc w:val="center"/>
        <w:rPr>
          <w:rFonts w:ascii="Times New Roman" w:hAnsi="Times New Roman" w:eastAsia="黑体"/>
          <w:sz w:val="28"/>
          <w:szCs w:val="28"/>
          <w:highlight w:val="none"/>
        </w:rPr>
      </w:pPr>
      <w:r>
        <w:rPr>
          <w:rFonts w:ascii="Times New Roman" w:hAnsi="Times New Roman" w:eastAsia="黑体"/>
          <w:sz w:val="28"/>
          <w:szCs w:val="28"/>
          <w:highlight w:val="none"/>
        </w:rPr>
        <w:t>表</w:t>
      </w:r>
      <w:r>
        <w:rPr>
          <w:rFonts w:ascii="Times New Roman" w:hAnsi="Times New Roman" w:eastAsia="黑体"/>
          <w:sz w:val="28"/>
          <w:szCs w:val="28"/>
          <w:highlight w:val="none"/>
        </w:rPr>
        <w:fldChar w:fldCharType="begin"/>
      </w:r>
      <w:r>
        <w:rPr>
          <w:rFonts w:ascii="Times New Roman" w:hAnsi="Times New Roman" w:eastAsia="黑体"/>
          <w:sz w:val="28"/>
          <w:szCs w:val="28"/>
          <w:highlight w:val="none"/>
        </w:rPr>
        <w:instrText xml:space="preserve"> STYLEREF 1 \s </w:instrText>
      </w:r>
      <w:r>
        <w:rPr>
          <w:rFonts w:ascii="Times New Roman" w:hAnsi="Times New Roman" w:eastAsia="黑体"/>
          <w:sz w:val="28"/>
          <w:szCs w:val="28"/>
          <w:highlight w:val="none"/>
        </w:rPr>
        <w:fldChar w:fldCharType="separate"/>
      </w:r>
      <w:r>
        <w:rPr>
          <w:rFonts w:ascii="Times New Roman" w:hAnsi="Times New Roman" w:eastAsia="黑体"/>
          <w:sz w:val="28"/>
          <w:szCs w:val="28"/>
          <w:highlight w:val="none"/>
        </w:rPr>
        <w:t>4</w:t>
      </w:r>
      <w:r>
        <w:rPr>
          <w:rFonts w:ascii="Times New Roman" w:hAnsi="Times New Roman" w:eastAsia="黑体"/>
          <w:sz w:val="28"/>
          <w:szCs w:val="28"/>
          <w:highlight w:val="none"/>
        </w:rPr>
        <w:fldChar w:fldCharType="end"/>
      </w:r>
      <w:r>
        <w:rPr>
          <w:rFonts w:ascii="Times New Roman" w:hAnsi="Times New Roman" w:eastAsia="黑体"/>
          <w:sz w:val="28"/>
          <w:szCs w:val="28"/>
          <w:highlight w:val="none"/>
        </w:rPr>
        <w:noBreakHyphen/>
      </w:r>
      <w:r>
        <w:rPr>
          <w:rFonts w:ascii="Times New Roman" w:hAnsi="Times New Roman" w:eastAsia="黑体"/>
          <w:sz w:val="28"/>
          <w:szCs w:val="28"/>
          <w:highlight w:val="none"/>
        </w:rPr>
        <w:fldChar w:fldCharType="begin"/>
      </w:r>
      <w:r>
        <w:rPr>
          <w:rFonts w:ascii="Times New Roman" w:hAnsi="Times New Roman" w:eastAsia="黑体"/>
          <w:sz w:val="28"/>
          <w:szCs w:val="28"/>
          <w:highlight w:val="none"/>
        </w:rPr>
        <w:instrText xml:space="preserve"> SEQ 表 \* ARABIC \s 1 </w:instrText>
      </w:r>
      <w:r>
        <w:rPr>
          <w:rFonts w:ascii="Times New Roman" w:hAnsi="Times New Roman" w:eastAsia="黑体"/>
          <w:sz w:val="28"/>
          <w:szCs w:val="28"/>
          <w:highlight w:val="none"/>
        </w:rPr>
        <w:fldChar w:fldCharType="separate"/>
      </w:r>
      <w:r>
        <w:rPr>
          <w:rFonts w:ascii="Times New Roman" w:hAnsi="Times New Roman" w:eastAsia="黑体"/>
          <w:sz w:val="28"/>
          <w:szCs w:val="28"/>
          <w:highlight w:val="none"/>
        </w:rPr>
        <w:t>1</w:t>
      </w:r>
      <w:r>
        <w:rPr>
          <w:rFonts w:ascii="Times New Roman" w:hAnsi="Times New Roman" w:eastAsia="黑体"/>
          <w:sz w:val="28"/>
          <w:szCs w:val="28"/>
          <w:highlight w:val="none"/>
        </w:rPr>
        <w:fldChar w:fldCharType="end"/>
      </w:r>
      <w:bookmarkStart w:id="64" w:name="_Toc8108"/>
      <w:r>
        <w:rPr>
          <w:rFonts w:ascii="Times New Roman" w:hAnsi="Times New Roman" w:eastAsia="黑体"/>
          <w:sz w:val="28"/>
          <w:szCs w:val="28"/>
          <w:highlight w:val="none"/>
        </w:rPr>
        <w:t xml:space="preserve"> 社会环境风险识别表</w:t>
      </w:r>
      <w:bookmarkEnd w:id="64"/>
    </w:p>
    <w:tbl>
      <w:tblPr>
        <w:tblStyle w:val="29"/>
        <w:tblW w:w="5354" w:type="pct"/>
        <w:jc w:val="center"/>
        <w:tblLayout w:type="autofit"/>
        <w:tblCellMar>
          <w:top w:w="0" w:type="dxa"/>
          <w:left w:w="0" w:type="dxa"/>
          <w:bottom w:w="0" w:type="dxa"/>
          <w:right w:w="0" w:type="dxa"/>
        </w:tblCellMar>
      </w:tblPr>
      <w:tblGrid>
        <w:gridCol w:w="964"/>
        <w:gridCol w:w="1576"/>
        <w:gridCol w:w="663"/>
        <w:gridCol w:w="1685"/>
        <w:gridCol w:w="1811"/>
        <w:gridCol w:w="863"/>
        <w:gridCol w:w="1335"/>
      </w:tblGrid>
      <w:tr>
        <w:tblPrEx>
          <w:tblCellMar>
            <w:top w:w="0" w:type="dxa"/>
            <w:left w:w="0" w:type="dxa"/>
            <w:bottom w:w="0" w:type="dxa"/>
            <w:right w:w="0" w:type="dxa"/>
          </w:tblCellMar>
        </w:tblPrEx>
        <w:trPr>
          <w:trHeight w:val="569" w:hRule="atLeast"/>
          <w:tblHeader/>
          <w:jc w:val="center"/>
        </w:trPr>
        <w:tc>
          <w:tcPr>
            <w:tcW w:w="543" w:type="pct"/>
            <w:tcBorders>
              <w:top w:val="single" w:color="000000" w:sz="12"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highlight w:val="none"/>
              </w:rPr>
            </w:pPr>
            <w:r>
              <w:rPr>
                <w:rFonts w:ascii="Times New Roman" w:hAnsi="Times New Roman" w:eastAsia="黑体"/>
                <w:kern w:val="0"/>
                <w:sz w:val="24"/>
                <w:szCs w:val="24"/>
                <w:highlight w:val="none"/>
              </w:rPr>
              <w:t>项目构成</w:t>
            </w:r>
          </w:p>
        </w:tc>
        <w:tc>
          <w:tcPr>
            <w:tcW w:w="887" w:type="pct"/>
            <w:tcBorders>
              <w:top w:val="single" w:color="000000" w:sz="12"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highlight w:val="none"/>
              </w:rPr>
            </w:pPr>
            <w:r>
              <w:rPr>
                <w:rFonts w:ascii="Times New Roman" w:hAnsi="Times New Roman" w:eastAsia="黑体"/>
                <w:kern w:val="0"/>
                <w:sz w:val="24"/>
                <w:szCs w:val="24"/>
                <w:highlight w:val="none"/>
              </w:rPr>
              <w:t>项目活动</w:t>
            </w:r>
          </w:p>
        </w:tc>
        <w:tc>
          <w:tcPr>
            <w:tcW w:w="366" w:type="pct"/>
            <w:tcBorders>
              <w:top w:val="single" w:color="000000" w:sz="12"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sz w:val="24"/>
                <w:szCs w:val="24"/>
                <w:highlight w:val="none"/>
              </w:rPr>
            </w:pPr>
            <w:r>
              <w:rPr>
                <w:rFonts w:ascii="Times New Roman" w:hAnsi="Times New Roman" w:eastAsia="黑体"/>
                <w:kern w:val="0"/>
                <w:sz w:val="24"/>
                <w:szCs w:val="24"/>
                <w:highlight w:val="none"/>
              </w:rPr>
              <w:t>项目类型</w:t>
            </w:r>
          </w:p>
        </w:tc>
        <w:tc>
          <w:tcPr>
            <w:tcW w:w="948" w:type="pct"/>
            <w:tcBorders>
              <w:top w:val="single" w:color="000000" w:sz="12"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潜在环境风险/影响</w:t>
            </w:r>
          </w:p>
        </w:tc>
        <w:tc>
          <w:tcPr>
            <w:tcW w:w="1019" w:type="pct"/>
            <w:tcBorders>
              <w:top w:val="single" w:color="000000" w:sz="12"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潜在社会风险/影响</w:t>
            </w:r>
          </w:p>
        </w:tc>
        <w:tc>
          <w:tcPr>
            <w:tcW w:w="486" w:type="pct"/>
            <w:tcBorders>
              <w:top w:val="single" w:color="000000" w:sz="12" w:space="0"/>
              <w:left w:val="nil"/>
              <w:bottom w:val="single" w:color="000000" w:sz="8" w:space="0"/>
              <w:right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风险等级分析</w:t>
            </w:r>
          </w:p>
        </w:tc>
        <w:tc>
          <w:tcPr>
            <w:tcW w:w="750" w:type="pct"/>
            <w:tcBorders>
              <w:top w:val="single" w:color="000000" w:sz="12" w:space="0"/>
              <w:left w:val="nil"/>
              <w:bottom w:val="single" w:color="000000" w:sz="8" w:space="0"/>
            </w:tcBorders>
            <w:vAlign w:val="center"/>
          </w:tcPr>
          <w:p>
            <w:pPr>
              <w:widowControl/>
              <w:snapToGrid w:val="0"/>
              <w:spacing w:line="300" w:lineRule="exact"/>
              <w:ind w:left="42" w:leftChars="20" w:right="42" w:rightChars="20"/>
              <w:jc w:val="center"/>
              <w:textAlignment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适用的E&amp;S工具</w:t>
            </w:r>
          </w:p>
        </w:tc>
      </w:tr>
      <w:tr>
        <w:tblPrEx>
          <w:tblCellMar>
            <w:top w:w="0" w:type="dxa"/>
            <w:left w:w="0" w:type="dxa"/>
            <w:bottom w:w="0" w:type="dxa"/>
            <w:right w:w="0" w:type="dxa"/>
          </w:tblCellMar>
        </w:tblPrEx>
        <w:trPr>
          <w:trHeight w:val="379" w:hRule="atLeast"/>
          <w:jc w:val="center"/>
        </w:trPr>
        <w:tc>
          <w:tcPr>
            <w:tcW w:w="5000" w:type="pct"/>
            <w:gridSpan w:val="7"/>
            <w:tcBorders>
              <w:top w:val="single" w:color="000000" w:sz="8" w:space="0"/>
              <w:bottom w:val="single" w:color="000000" w:sz="8" w:space="0"/>
            </w:tcBorders>
            <w:tcMar>
              <w:top w:w="15" w:type="dxa"/>
              <w:left w:w="15" w:type="dxa"/>
              <w:right w:w="15" w:type="dxa"/>
            </w:tcMar>
            <w:vAlign w:val="center"/>
          </w:tcPr>
          <w:p>
            <w:pPr>
              <w:spacing w:line="240" w:lineRule="exact"/>
              <w:jc w:val="center"/>
              <w:rPr>
                <w:rFonts w:ascii="Times New Roman" w:hAnsi="Times New Roman" w:eastAsia="仿宋_GB2312"/>
                <w:b/>
                <w:iCs/>
                <w:kern w:val="0"/>
                <w:szCs w:val="21"/>
                <w:highlight w:val="none"/>
              </w:rPr>
            </w:pPr>
            <w:r>
              <w:rPr>
                <w:rFonts w:ascii="Times New Roman" w:hAnsi="Times New Roman" w:eastAsia="仿宋_GB2312"/>
                <w:b/>
                <w:bCs/>
                <w:iCs/>
                <w:kern w:val="0"/>
                <w:szCs w:val="21"/>
                <w:highlight w:val="none"/>
              </w:rPr>
              <w:t>子项1：提升实验室检测能力</w:t>
            </w:r>
          </w:p>
        </w:tc>
      </w:tr>
      <w:tr>
        <w:tblPrEx>
          <w:tblCellMar>
            <w:top w:w="0" w:type="dxa"/>
            <w:left w:w="0" w:type="dxa"/>
            <w:bottom w:w="0" w:type="dxa"/>
            <w:right w:w="0" w:type="dxa"/>
          </w:tblCellMar>
        </w:tblPrEx>
        <w:trPr>
          <w:trHeight w:val="3051" w:hRule="atLeast"/>
          <w:jc w:val="center"/>
        </w:trPr>
        <w:tc>
          <w:tcPr>
            <w:tcW w:w="543"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提升实验室检测能力</w:t>
            </w:r>
          </w:p>
        </w:tc>
        <w:tc>
          <w:tcPr>
            <w:tcW w:w="887"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1.</w:t>
            </w:r>
            <w:r>
              <w:rPr>
                <w:rFonts w:hint="eastAsia" w:ascii="Times New Roman" w:hAnsi="Times New Roman" w:eastAsia="仿宋_GB2312"/>
                <w:szCs w:val="21"/>
                <w:highlight w:val="none"/>
              </w:rPr>
              <w:t>购置实验室检测设备31台（套），</w:t>
            </w:r>
            <w:r>
              <w:rPr>
                <w:rFonts w:ascii="Times New Roman" w:hAnsi="Times New Roman" w:eastAsia="仿宋_GB2312"/>
                <w:szCs w:val="21"/>
                <w:highlight w:val="none"/>
              </w:rPr>
              <w:t>提升人兽共患病实验室检测能力</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2.</w:t>
            </w:r>
            <w:r>
              <w:rPr>
                <w:rFonts w:hint="eastAsia" w:ascii="Times New Roman" w:hAnsi="Times New Roman" w:eastAsia="仿宋_GB2312"/>
                <w:szCs w:val="21"/>
                <w:highlight w:val="none"/>
              </w:rPr>
              <w:t>购置实验室检测设备4台（套），</w:t>
            </w:r>
            <w:r>
              <w:rPr>
                <w:rFonts w:ascii="Times New Roman" w:hAnsi="Times New Roman" w:eastAsia="仿宋_GB2312"/>
                <w:szCs w:val="21"/>
                <w:highlight w:val="none"/>
              </w:rPr>
              <w:t>提升新发病检测能力</w:t>
            </w:r>
          </w:p>
        </w:tc>
        <w:tc>
          <w:tcPr>
            <w:tcW w:w="36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kern w:val="0"/>
                <w:szCs w:val="21"/>
                <w:highlight w:val="none"/>
              </w:rPr>
            </w:pPr>
            <w:r>
              <w:rPr>
                <w:rFonts w:hint="eastAsia" w:ascii="Times New Roman" w:hAnsi="Times New Roman" w:eastAsia="仿宋_GB2312"/>
                <w:szCs w:val="21"/>
                <w:highlight w:val="none"/>
              </w:rPr>
              <w:t>设备采购</w:t>
            </w:r>
            <w:r>
              <w:rPr>
                <w:rFonts w:ascii="Times New Roman" w:hAnsi="Times New Roman" w:eastAsia="仿宋_GB2312"/>
                <w:szCs w:val="21"/>
                <w:highlight w:val="none"/>
              </w:rPr>
              <w:t>Goods</w:t>
            </w:r>
          </w:p>
        </w:tc>
        <w:tc>
          <w:tcPr>
            <w:tcW w:w="948"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right="42" w:rightChars="20"/>
              <w:rPr>
                <w:rFonts w:ascii="Times New Roman" w:hAnsi="Times New Roman" w:eastAsia="仿宋_GB2312"/>
                <w:szCs w:val="21"/>
                <w:highlight w:val="none"/>
              </w:rPr>
            </w:pPr>
            <w:r>
              <w:rPr>
                <w:rFonts w:ascii="Times New Roman" w:hAnsi="Times New Roman" w:eastAsia="仿宋_GB2312"/>
                <w:szCs w:val="21"/>
                <w:highlight w:val="none"/>
              </w:rPr>
              <w:t>活动本身没有环境风险。但是</w:t>
            </w:r>
            <w:r>
              <w:rPr>
                <w:rFonts w:hint="eastAsia" w:ascii="Times New Roman" w:hAnsi="Times New Roman" w:eastAsia="仿宋_GB2312"/>
                <w:szCs w:val="21"/>
                <w:highlight w:val="none"/>
              </w:rPr>
              <w:t>在设备运行使用</w:t>
            </w:r>
            <w:r>
              <w:rPr>
                <w:rFonts w:ascii="Times New Roman" w:hAnsi="Times New Roman" w:eastAsia="仿宋_GB2312"/>
                <w:szCs w:val="21"/>
                <w:highlight w:val="none"/>
              </w:rPr>
              <w:t>过程中可能存在科研人员没有合规操作、未能妥善处理实验废物等潜在的环境</w:t>
            </w:r>
            <w:r>
              <w:rPr>
                <w:rFonts w:hint="eastAsia" w:ascii="Times New Roman" w:hAnsi="Times New Roman" w:eastAsia="仿宋_GB2312"/>
                <w:szCs w:val="21"/>
                <w:highlight w:val="none"/>
              </w:rPr>
              <w:t>风险</w:t>
            </w:r>
            <w:r>
              <w:rPr>
                <w:rFonts w:ascii="Times New Roman" w:hAnsi="Times New Roman" w:eastAsia="仿宋_GB2312"/>
                <w:szCs w:val="21"/>
                <w:highlight w:val="none"/>
              </w:rPr>
              <w:t>。</w:t>
            </w:r>
          </w:p>
        </w:tc>
        <w:tc>
          <w:tcPr>
            <w:tcW w:w="1019"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提升实验室检测能力活动本身没有社会风险。但是具体实施过程中可能存在科研人员没有合规操作、未能妥善处理实验废物等潜在的社区健康和安全风险。</w:t>
            </w:r>
          </w:p>
        </w:tc>
        <w:tc>
          <w:tcPr>
            <w:tcW w:w="486"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w:t>
            </w:r>
            <w:r>
              <w:rPr>
                <w:rFonts w:hint="eastAsia" w:ascii="Times New Roman" w:hAnsi="Times New Roman" w:eastAsia="仿宋_GB2312"/>
                <w:szCs w:val="21"/>
                <w:highlight w:val="none"/>
              </w:rPr>
              <w:t>中等-</w:t>
            </w:r>
            <w:r>
              <w:rPr>
                <w:rFonts w:ascii="Times New Roman" w:hAnsi="Times New Roman" w:eastAsia="仿宋_GB2312"/>
                <w:szCs w:val="21"/>
                <w:highlight w:val="none"/>
              </w:rPr>
              <w:t>低风险</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社会低风险</w:t>
            </w:r>
          </w:p>
        </w:tc>
        <w:tc>
          <w:tcPr>
            <w:tcW w:w="750"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环境社会管理框架(ESMF)</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劳工管理程序框架（LMP）</w:t>
            </w:r>
          </w:p>
          <w:p>
            <w:pPr>
              <w:snapToGrid w:val="0"/>
              <w:spacing w:line="300" w:lineRule="exact"/>
              <w:ind w:left="42" w:leftChars="20" w:right="42" w:rightChars="20"/>
              <w:rPr>
                <w:rFonts w:ascii="Times New Roman" w:hAnsi="Times New Roman" w:eastAsia="仿宋_GB2312"/>
                <w:kern w:val="0"/>
                <w:szCs w:val="21"/>
                <w:highlight w:val="none"/>
              </w:rPr>
            </w:pPr>
            <w:r>
              <w:rPr>
                <w:rFonts w:ascii="Times New Roman" w:hAnsi="Times New Roman" w:eastAsia="仿宋_GB2312"/>
                <w:szCs w:val="21"/>
                <w:highlight w:val="none"/>
              </w:rPr>
              <w:t>利益相关方参与计划(SEP)</w:t>
            </w:r>
          </w:p>
        </w:tc>
      </w:tr>
      <w:tr>
        <w:tblPrEx>
          <w:tblCellMar>
            <w:top w:w="0" w:type="dxa"/>
            <w:left w:w="0" w:type="dxa"/>
            <w:bottom w:w="0" w:type="dxa"/>
            <w:right w:w="0" w:type="dxa"/>
          </w:tblCellMar>
        </w:tblPrEx>
        <w:trPr>
          <w:trHeight w:val="438" w:hRule="atLeast"/>
          <w:jc w:val="center"/>
        </w:trPr>
        <w:tc>
          <w:tcPr>
            <w:tcW w:w="5000" w:type="pct"/>
            <w:gridSpan w:val="7"/>
            <w:tcBorders>
              <w:top w:val="single" w:color="000000" w:sz="8" w:space="0"/>
              <w:bottom w:val="single" w:color="000000" w:sz="8" w:space="0"/>
            </w:tcBorders>
            <w:tcMar>
              <w:top w:w="15" w:type="dxa"/>
              <w:left w:w="15" w:type="dxa"/>
              <w:right w:w="15" w:type="dxa"/>
            </w:tcMar>
            <w:vAlign w:val="center"/>
          </w:tcPr>
          <w:p>
            <w:pPr>
              <w:widowControl/>
              <w:snapToGrid w:val="0"/>
              <w:spacing w:line="300" w:lineRule="exact"/>
              <w:jc w:val="center"/>
              <w:rPr>
                <w:rFonts w:ascii="Times New Roman" w:hAnsi="Times New Roman" w:eastAsia="仿宋_GB2312"/>
                <w:b/>
                <w:bCs/>
                <w:iCs/>
                <w:kern w:val="0"/>
                <w:szCs w:val="21"/>
                <w:highlight w:val="none"/>
              </w:rPr>
            </w:pPr>
            <w:r>
              <w:rPr>
                <w:rFonts w:ascii="Times New Roman" w:hAnsi="Times New Roman" w:eastAsia="仿宋_GB2312"/>
                <w:b/>
                <w:bCs/>
                <w:iCs/>
                <w:kern w:val="0"/>
                <w:szCs w:val="21"/>
                <w:highlight w:val="none"/>
              </w:rPr>
              <w:t>子项2：提升防控技术和产品创新研发能力</w:t>
            </w:r>
          </w:p>
        </w:tc>
      </w:tr>
      <w:tr>
        <w:tblPrEx>
          <w:tblCellMar>
            <w:top w:w="0" w:type="dxa"/>
            <w:left w:w="0" w:type="dxa"/>
            <w:bottom w:w="0" w:type="dxa"/>
            <w:right w:w="0" w:type="dxa"/>
          </w:tblCellMar>
        </w:tblPrEx>
        <w:trPr>
          <w:trHeight w:val="591" w:hRule="atLeast"/>
          <w:jc w:val="center"/>
        </w:trPr>
        <w:tc>
          <w:tcPr>
            <w:tcW w:w="543"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提升防控技术和产品创新研发能力</w:t>
            </w:r>
          </w:p>
          <w:p>
            <w:pPr>
              <w:widowControl/>
              <w:snapToGrid w:val="0"/>
              <w:spacing w:line="300" w:lineRule="exact"/>
              <w:ind w:left="42" w:leftChars="20" w:right="42" w:rightChars="20"/>
              <w:jc w:val="center"/>
              <w:rPr>
                <w:rFonts w:ascii="Times New Roman" w:hAnsi="Times New Roman" w:eastAsia="仿宋_GB2312"/>
                <w:szCs w:val="21"/>
                <w:highlight w:val="none"/>
              </w:rPr>
            </w:pPr>
          </w:p>
        </w:tc>
        <w:tc>
          <w:tcPr>
            <w:tcW w:w="887"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1.开发风险沟通工具包</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2.</w:t>
            </w:r>
            <w:r>
              <w:rPr>
                <w:rFonts w:hint="eastAsia" w:ascii="Times New Roman" w:hAnsi="Times New Roman" w:eastAsia="仿宋_GB2312"/>
                <w:szCs w:val="21"/>
                <w:highlight w:val="none"/>
              </w:rPr>
              <w:t>在全国多个省区</w:t>
            </w:r>
            <w:r>
              <w:rPr>
                <w:rFonts w:ascii="Times New Roman" w:hAnsi="Times New Roman" w:eastAsia="仿宋_GB2312"/>
                <w:szCs w:val="21"/>
                <w:highlight w:val="none"/>
              </w:rPr>
              <w:t>开展布鲁氏菌病和狂犬病知信行调研</w:t>
            </w:r>
            <w:r>
              <w:rPr>
                <w:rFonts w:hint="eastAsia" w:ascii="Times New Roman" w:hAnsi="Times New Roman" w:eastAsia="仿宋_GB2312"/>
                <w:szCs w:val="21"/>
                <w:highlight w:val="none"/>
              </w:rPr>
              <w:t>，并对基层进行知信行研究分析</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3.</w:t>
            </w:r>
            <w:r>
              <w:rPr>
                <w:rFonts w:hint="eastAsia" w:ascii="Times New Roman" w:hAnsi="Times New Roman" w:eastAsia="仿宋_GB2312"/>
                <w:szCs w:val="21"/>
                <w:highlight w:val="none"/>
              </w:rPr>
              <w:t>购置30台（套）设备，并</w:t>
            </w:r>
            <w:r>
              <w:rPr>
                <w:rFonts w:ascii="Times New Roman" w:hAnsi="Times New Roman" w:eastAsia="仿宋_GB2312"/>
                <w:szCs w:val="21"/>
                <w:highlight w:val="none"/>
              </w:rPr>
              <w:t>研发</w:t>
            </w:r>
            <w:r>
              <w:rPr>
                <w:rFonts w:hint="eastAsia" w:ascii="Times New Roman" w:hAnsi="Times New Roman" w:eastAsia="仿宋_GB2312"/>
                <w:szCs w:val="21"/>
                <w:highlight w:val="none"/>
              </w:rPr>
              <w:t>5种</w:t>
            </w:r>
            <w:r>
              <w:rPr>
                <w:rFonts w:ascii="Times New Roman" w:hAnsi="Times New Roman" w:eastAsia="仿宋_GB2312"/>
                <w:szCs w:val="21"/>
                <w:highlight w:val="none"/>
              </w:rPr>
              <w:t>新型检测技术及</w:t>
            </w:r>
            <w:r>
              <w:rPr>
                <w:rFonts w:hint="eastAsia" w:ascii="Times New Roman" w:hAnsi="Times New Roman" w:eastAsia="仿宋_GB2312"/>
                <w:szCs w:val="21"/>
                <w:highlight w:val="none"/>
              </w:rPr>
              <w:t>2种</w:t>
            </w:r>
            <w:r>
              <w:rPr>
                <w:rFonts w:ascii="Times New Roman" w:hAnsi="Times New Roman" w:eastAsia="仿宋_GB2312"/>
                <w:szCs w:val="21"/>
                <w:highlight w:val="none"/>
              </w:rPr>
              <w:t>能力验证标准品</w:t>
            </w:r>
          </w:p>
        </w:tc>
        <w:tc>
          <w:tcPr>
            <w:tcW w:w="36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snapToGrid w:val="0"/>
              <w:spacing w:line="300" w:lineRule="exact"/>
              <w:ind w:left="42" w:leftChars="20" w:right="42" w:rightChars="20"/>
              <w:jc w:val="center"/>
              <w:rPr>
                <w:rFonts w:ascii="Times New Roman" w:hAnsi="Times New Roman" w:eastAsia="仿宋_GB2312"/>
                <w:szCs w:val="21"/>
                <w:highlight w:val="none"/>
              </w:rPr>
            </w:pPr>
            <w:r>
              <w:rPr>
                <w:rFonts w:hint="eastAsia" w:ascii="Times New Roman" w:hAnsi="Times New Roman" w:eastAsia="仿宋_GB2312"/>
                <w:szCs w:val="21"/>
                <w:highlight w:val="none"/>
              </w:rPr>
              <w:t>TA</w:t>
            </w:r>
            <w:r>
              <w:rPr>
                <w:rFonts w:ascii="Times New Roman" w:hAnsi="Times New Roman" w:eastAsia="仿宋_GB2312"/>
                <w:szCs w:val="21"/>
                <w:highlight w:val="none"/>
              </w:rPr>
              <w:t xml:space="preserve"> II</w:t>
            </w:r>
          </w:p>
        </w:tc>
        <w:tc>
          <w:tcPr>
            <w:tcW w:w="948"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提升防控技术和产品创新研发能力本身环境风险低。但是开展人兽共患病调研</w:t>
            </w:r>
            <w:r>
              <w:rPr>
                <w:rFonts w:hint="eastAsia" w:ascii="Times New Roman" w:hAnsi="Times New Roman" w:eastAsia="仿宋_GB2312"/>
                <w:szCs w:val="21"/>
                <w:highlight w:val="none"/>
              </w:rPr>
              <w:t>和产品研发</w:t>
            </w:r>
            <w:r>
              <w:rPr>
                <w:rFonts w:ascii="Times New Roman" w:hAnsi="Times New Roman" w:eastAsia="仿宋_GB2312"/>
                <w:szCs w:val="21"/>
                <w:highlight w:val="none"/>
              </w:rPr>
              <w:t>过程中可能有潜在的环境</w:t>
            </w:r>
            <w:r>
              <w:rPr>
                <w:rFonts w:hint="eastAsia" w:ascii="Times New Roman" w:hAnsi="Times New Roman" w:eastAsia="仿宋_GB2312"/>
                <w:szCs w:val="21"/>
                <w:highlight w:val="none"/>
              </w:rPr>
              <w:t>风险和职业健康风险</w:t>
            </w:r>
            <w:r>
              <w:rPr>
                <w:rFonts w:ascii="Times New Roman" w:hAnsi="Times New Roman" w:eastAsia="仿宋_GB2312"/>
                <w:szCs w:val="21"/>
                <w:highlight w:val="none"/>
              </w:rPr>
              <w:t>。</w:t>
            </w:r>
          </w:p>
        </w:tc>
        <w:tc>
          <w:tcPr>
            <w:tcW w:w="1019"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提升防控技术和产品创新研发能力本身没有社会风险。但是开展人兽共患病调研的过程中，</w:t>
            </w:r>
            <w:r>
              <w:rPr>
                <w:rFonts w:hint="eastAsia" w:ascii="Times New Roman" w:hAnsi="Times New Roman" w:eastAsia="仿宋_GB2312"/>
                <w:szCs w:val="21"/>
                <w:highlight w:val="none"/>
              </w:rPr>
              <w:t>调查</w:t>
            </w:r>
            <w:r>
              <w:rPr>
                <w:rFonts w:ascii="Times New Roman" w:hAnsi="Times New Roman" w:eastAsia="仿宋_GB2312"/>
                <w:szCs w:val="21"/>
                <w:highlight w:val="none"/>
              </w:rPr>
              <w:t>人员有潜在的被感染的风险。</w:t>
            </w:r>
          </w:p>
        </w:tc>
        <w:tc>
          <w:tcPr>
            <w:tcW w:w="486"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w:t>
            </w:r>
            <w:r>
              <w:rPr>
                <w:rFonts w:hint="eastAsia" w:ascii="Times New Roman" w:hAnsi="Times New Roman" w:eastAsia="仿宋_GB2312"/>
                <w:szCs w:val="21"/>
                <w:highlight w:val="none"/>
              </w:rPr>
              <w:t>中等-低</w:t>
            </w:r>
            <w:r>
              <w:rPr>
                <w:rFonts w:ascii="Times New Roman" w:hAnsi="Times New Roman" w:eastAsia="仿宋_GB2312"/>
                <w:szCs w:val="21"/>
                <w:highlight w:val="none"/>
              </w:rPr>
              <w:t>风险</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社会中等风险</w:t>
            </w:r>
          </w:p>
        </w:tc>
        <w:tc>
          <w:tcPr>
            <w:tcW w:w="750"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环境社会管理框架(ESMF)</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劳工管理程序框架（LMP）</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利益相关方参与计划(SEP)</w:t>
            </w:r>
          </w:p>
        </w:tc>
      </w:tr>
      <w:tr>
        <w:tblPrEx>
          <w:tblCellMar>
            <w:top w:w="0" w:type="dxa"/>
            <w:left w:w="0" w:type="dxa"/>
            <w:bottom w:w="0" w:type="dxa"/>
            <w:right w:w="0" w:type="dxa"/>
          </w:tblCellMar>
        </w:tblPrEx>
        <w:trPr>
          <w:trHeight w:val="392" w:hRule="atLeast"/>
          <w:jc w:val="center"/>
        </w:trPr>
        <w:tc>
          <w:tcPr>
            <w:tcW w:w="5000" w:type="pct"/>
            <w:gridSpan w:val="7"/>
            <w:tcBorders>
              <w:top w:val="single" w:color="000000" w:sz="8" w:space="0"/>
              <w:bottom w:val="single" w:color="000000" w:sz="8" w:space="0"/>
            </w:tcBorders>
            <w:tcMar>
              <w:top w:w="15" w:type="dxa"/>
              <w:left w:w="15" w:type="dxa"/>
              <w:right w:w="15" w:type="dxa"/>
            </w:tcMar>
            <w:vAlign w:val="center"/>
          </w:tcPr>
          <w:p>
            <w:pPr>
              <w:widowControl/>
              <w:snapToGrid w:val="0"/>
              <w:spacing w:line="300" w:lineRule="exact"/>
              <w:jc w:val="center"/>
              <w:rPr>
                <w:rFonts w:ascii="Times New Roman" w:hAnsi="Times New Roman" w:eastAsia="仿宋_GB2312"/>
                <w:szCs w:val="21"/>
                <w:highlight w:val="none"/>
              </w:rPr>
            </w:pPr>
            <w:r>
              <w:rPr>
                <w:rFonts w:ascii="Times New Roman" w:hAnsi="Times New Roman" w:eastAsia="仿宋_GB2312"/>
                <w:b/>
                <w:bCs/>
                <w:iCs/>
                <w:kern w:val="0"/>
                <w:szCs w:val="21"/>
                <w:highlight w:val="none"/>
              </w:rPr>
              <w:t>子项3：提升人才队伍建设能力</w:t>
            </w:r>
          </w:p>
        </w:tc>
      </w:tr>
      <w:tr>
        <w:tblPrEx>
          <w:tblCellMar>
            <w:top w:w="0" w:type="dxa"/>
            <w:left w:w="0" w:type="dxa"/>
            <w:bottom w:w="0" w:type="dxa"/>
            <w:right w:w="0" w:type="dxa"/>
          </w:tblCellMar>
        </w:tblPrEx>
        <w:trPr>
          <w:trHeight w:val="1063" w:hRule="atLeast"/>
          <w:jc w:val="center"/>
        </w:trPr>
        <w:tc>
          <w:tcPr>
            <w:tcW w:w="543" w:type="pct"/>
            <w:tcBorders>
              <w:top w:val="single" w:color="000000" w:sz="8" w:space="0"/>
              <w:bottom w:val="single" w:color="000000" w:sz="8"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提升人才队伍建设能力</w:t>
            </w:r>
          </w:p>
          <w:p>
            <w:pPr>
              <w:widowControl/>
              <w:snapToGrid w:val="0"/>
              <w:spacing w:line="300" w:lineRule="exact"/>
              <w:ind w:left="42" w:leftChars="20" w:right="42" w:rightChars="20"/>
              <w:jc w:val="center"/>
              <w:rPr>
                <w:rFonts w:ascii="Times New Roman" w:hAnsi="Times New Roman" w:eastAsia="仿宋_GB2312"/>
                <w:szCs w:val="21"/>
                <w:highlight w:val="none"/>
              </w:rPr>
            </w:pPr>
          </w:p>
        </w:tc>
        <w:tc>
          <w:tcPr>
            <w:tcW w:w="887"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1.开展人兽共患病国际防控经验总结</w:t>
            </w:r>
            <w:r>
              <w:rPr>
                <w:rFonts w:hint="eastAsia" w:ascii="Times New Roman" w:hAnsi="Times New Roman" w:eastAsia="仿宋_GB2312"/>
                <w:szCs w:val="21"/>
                <w:highlight w:val="none"/>
              </w:rPr>
              <w:t>会议，并出版研究著作等</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2.编制人兽共患病风险评估技术指南</w:t>
            </w:r>
            <w:r>
              <w:rPr>
                <w:rFonts w:hint="eastAsia" w:ascii="Times New Roman" w:hAnsi="Times New Roman" w:eastAsia="仿宋_GB2312"/>
                <w:szCs w:val="21"/>
                <w:highlight w:val="none"/>
              </w:rPr>
              <w:t>，组织召开会议并出版相关著作</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3.开展替代饲养方式国际经验（案例）研究</w:t>
            </w:r>
            <w:r>
              <w:rPr>
                <w:rFonts w:hint="eastAsia" w:ascii="Times New Roman" w:hAnsi="Times New Roman" w:eastAsia="仿宋_GB2312"/>
                <w:szCs w:val="21"/>
                <w:highlight w:val="none"/>
              </w:rPr>
              <w:t>，组织召开会议并出版相关著作</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4.技术人员培训及交流</w:t>
            </w:r>
            <w:r>
              <w:rPr>
                <w:rFonts w:hint="eastAsia" w:ascii="Times New Roman" w:hAnsi="Times New Roman" w:eastAsia="仿宋_GB2312"/>
                <w:szCs w:val="21"/>
                <w:highlight w:val="none"/>
              </w:rPr>
              <w:t>，参加国际会议、国际培训，开展兽医从业人员会议及培训</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5.公众科普教育</w:t>
            </w:r>
            <w:r>
              <w:rPr>
                <w:rFonts w:hint="eastAsia" w:ascii="Times New Roman" w:hAnsi="Times New Roman" w:eastAsia="仿宋_GB2312"/>
                <w:szCs w:val="21"/>
                <w:highlight w:val="none"/>
              </w:rPr>
              <w:t>，进行媒体及现场宣教科普等活动</w:t>
            </w:r>
          </w:p>
        </w:tc>
        <w:tc>
          <w:tcPr>
            <w:tcW w:w="366" w:type="pct"/>
            <w:tcBorders>
              <w:top w:val="single" w:color="000000" w:sz="8" w:space="0"/>
              <w:left w:val="nil"/>
              <w:bottom w:val="single" w:color="000000" w:sz="8" w:space="0"/>
              <w:right w:val="single" w:color="000000" w:sz="8" w:space="0"/>
            </w:tcBorders>
            <w:tcMar>
              <w:top w:w="15" w:type="dxa"/>
              <w:left w:w="15" w:type="dxa"/>
              <w:right w:w="15" w:type="dxa"/>
            </w:tcMar>
            <w:vAlign w:val="center"/>
          </w:tcPr>
          <w:p>
            <w:pPr>
              <w:snapToGrid w:val="0"/>
              <w:spacing w:line="300" w:lineRule="exact"/>
              <w:ind w:left="42" w:leftChars="20" w:right="42" w:rightChars="20"/>
              <w:jc w:val="center"/>
              <w:rPr>
                <w:rFonts w:ascii="Times New Roman" w:hAnsi="Times New Roman" w:eastAsia="仿宋_GB2312"/>
                <w:szCs w:val="21"/>
                <w:highlight w:val="none"/>
              </w:rPr>
            </w:pPr>
            <w:r>
              <w:rPr>
                <w:rFonts w:hint="eastAsia" w:ascii="Times New Roman" w:hAnsi="Times New Roman" w:eastAsia="仿宋_GB2312"/>
                <w:szCs w:val="21"/>
                <w:highlight w:val="none"/>
              </w:rPr>
              <w:t>TA</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II和TA</w:t>
            </w:r>
            <w:r>
              <w:rPr>
                <w:rFonts w:ascii="Times New Roman" w:hAnsi="Times New Roman" w:eastAsia="仿宋_GB2312"/>
                <w:szCs w:val="21"/>
                <w:highlight w:val="none"/>
              </w:rPr>
              <w:t xml:space="preserve"> III</w:t>
            </w:r>
          </w:p>
        </w:tc>
        <w:tc>
          <w:tcPr>
            <w:tcW w:w="948" w:type="pct"/>
            <w:tcBorders>
              <w:top w:val="single" w:color="000000" w:sz="8" w:space="0"/>
              <w:left w:val="nil"/>
              <w:bottom w:val="single" w:color="000000" w:sz="8"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技术指南</w:t>
            </w:r>
            <w:r>
              <w:rPr>
                <w:rFonts w:hint="eastAsia" w:ascii="Times New Roman" w:hAnsi="Times New Roman" w:eastAsia="仿宋_GB2312"/>
                <w:szCs w:val="21"/>
                <w:highlight w:val="none"/>
              </w:rPr>
              <w:t>的编制</w:t>
            </w:r>
            <w:r>
              <w:rPr>
                <w:rFonts w:ascii="Times New Roman" w:hAnsi="Times New Roman" w:eastAsia="仿宋_GB2312"/>
                <w:szCs w:val="21"/>
                <w:highlight w:val="none"/>
              </w:rPr>
              <w:t>，如果将来被采纳并实施可能存在潜在的下游环境</w:t>
            </w:r>
            <w:r>
              <w:rPr>
                <w:rFonts w:hint="eastAsia" w:ascii="Times New Roman" w:hAnsi="Times New Roman" w:eastAsia="仿宋_GB2312"/>
                <w:szCs w:val="21"/>
                <w:highlight w:val="none"/>
              </w:rPr>
              <w:t>社会</w:t>
            </w:r>
            <w:r>
              <w:rPr>
                <w:rFonts w:ascii="Times New Roman" w:hAnsi="Times New Roman" w:eastAsia="仿宋_GB2312"/>
                <w:szCs w:val="21"/>
                <w:highlight w:val="none"/>
              </w:rPr>
              <w:t>影响。</w:t>
            </w:r>
          </w:p>
        </w:tc>
        <w:tc>
          <w:tcPr>
            <w:tcW w:w="1019" w:type="pct"/>
            <w:tcBorders>
              <w:top w:val="single" w:color="000000" w:sz="8" w:space="0"/>
              <w:left w:val="single" w:color="auto" w:sz="4" w:space="0"/>
              <w:bottom w:val="single" w:color="000000" w:sz="8" w:space="0"/>
              <w:right w:val="single" w:color="000000" w:sz="8" w:space="0"/>
            </w:tcBorders>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编制的技术指南，如果将来被采纳并实施可能存在潜在的下游社会影响</w:t>
            </w:r>
            <w:r>
              <w:rPr>
                <w:rFonts w:hint="eastAsia" w:ascii="Times New Roman" w:hAnsi="Times New Roman" w:eastAsia="仿宋_GB2312"/>
                <w:szCs w:val="21"/>
                <w:highlight w:val="none"/>
              </w:rPr>
              <w:t>，例如对特殊群体考虑不周造成社会包容性不足等</w:t>
            </w:r>
            <w:r>
              <w:rPr>
                <w:rFonts w:ascii="Times New Roman" w:hAnsi="Times New Roman" w:eastAsia="仿宋_GB2312"/>
                <w:szCs w:val="21"/>
                <w:highlight w:val="none"/>
              </w:rPr>
              <w:t>。</w:t>
            </w:r>
          </w:p>
        </w:tc>
        <w:tc>
          <w:tcPr>
            <w:tcW w:w="486" w:type="pct"/>
            <w:tcBorders>
              <w:top w:val="single" w:color="000000" w:sz="8" w:space="0"/>
              <w:left w:val="nil"/>
              <w:bottom w:val="single" w:color="000000" w:sz="8"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环境低风险</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社会低风险</w:t>
            </w:r>
          </w:p>
        </w:tc>
        <w:tc>
          <w:tcPr>
            <w:tcW w:w="750" w:type="pct"/>
            <w:tcBorders>
              <w:top w:val="single" w:color="000000" w:sz="8" w:space="0"/>
              <w:left w:val="nil"/>
              <w:bottom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环境社会管理框架(ESMF)</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劳工管理程序框架（LMP）</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利益相关方参与计划(SEP)</w:t>
            </w:r>
          </w:p>
        </w:tc>
      </w:tr>
      <w:tr>
        <w:tblPrEx>
          <w:tblCellMar>
            <w:top w:w="0" w:type="dxa"/>
            <w:left w:w="0" w:type="dxa"/>
            <w:bottom w:w="0" w:type="dxa"/>
            <w:right w:w="0" w:type="dxa"/>
          </w:tblCellMar>
        </w:tblPrEx>
        <w:trPr>
          <w:trHeight w:val="398" w:hRule="atLeast"/>
          <w:jc w:val="center"/>
        </w:trPr>
        <w:tc>
          <w:tcPr>
            <w:tcW w:w="5000" w:type="pct"/>
            <w:gridSpan w:val="7"/>
            <w:tcBorders>
              <w:top w:val="single" w:color="000000" w:sz="8" w:space="0"/>
              <w:bottom w:val="single" w:color="000000" w:sz="8" w:space="0"/>
            </w:tcBorders>
            <w:tcMar>
              <w:top w:w="15" w:type="dxa"/>
              <w:left w:w="15" w:type="dxa"/>
              <w:right w:w="15" w:type="dxa"/>
            </w:tcMar>
            <w:vAlign w:val="center"/>
          </w:tcPr>
          <w:p>
            <w:pPr>
              <w:spacing w:line="240" w:lineRule="exact"/>
              <w:jc w:val="center"/>
              <w:rPr>
                <w:rFonts w:ascii="Times New Roman" w:hAnsi="Times New Roman" w:eastAsia="仿宋_GB2312"/>
                <w:b/>
                <w:bCs/>
                <w:iCs/>
                <w:kern w:val="0"/>
                <w:szCs w:val="21"/>
                <w:highlight w:val="none"/>
              </w:rPr>
            </w:pPr>
            <w:r>
              <w:rPr>
                <w:rFonts w:ascii="Times New Roman" w:hAnsi="Times New Roman" w:eastAsia="仿宋_GB2312"/>
                <w:b/>
                <w:bCs/>
                <w:iCs/>
                <w:kern w:val="0"/>
                <w:szCs w:val="21"/>
                <w:highlight w:val="none"/>
              </w:rPr>
              <w:t>子项4：项目管理及监测评估</w:t>
            </w:r>
          </w:p>
        </w:tc>
      </w:tr>
      <w:tr>
        <w:tblPrEx>
          <w:tblCellMar>
            <w:top w:w="0" w:type="dxa"/>
            <w:left w:w="0" w:type="dxa"/>
            <w:bottom w:w="0" w:type="dxa"/>
            <w:right w:w="0" w:type="dxa"/>
          </w:tblCellMar>
        </w:tblPrEx>
        <w:trPr>
          <w:trHeight w:val="591" w:hRule="atLeast"/>
          <w:jc w:val="center"/>
        </w:trPr>
        <w:tc>
          <w:tcPr>
            <w:tcW w:w="543" w:type="pct"/>
            <w:tcBorders>
              <w:top w:val="single" w:color="000000" w:sz="8" w:space="0"/>
              <w:bottom w:val="single" w:color="000000" w:sz="12"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项目管理及监测评估</w:t>
            </w:r>
          </w:p>
        </w:tc>
        <w:tc>
          <w:tcPr>
            <w:tcW w:w="887" w:type="pct"/>
            <w:tcBorders>
              <w:top w:val="single" w:color="000000" w:sz="8" w:space="0"/>
              <w:left w:val="nil"/>
              <w:bottom w:val="single" w:color="000000" w:sz="12" w:space="0"/>
              <w:right w:val="single" w:color="000000" w:sz="8" w:space="0"/>
            </w:tcBorders>
            <w:tcMar>
              <w:top w:w="15" w:type="dxa"/>
              <w:left w:w="15" w:type="dxa"/>
              <w:right w:w="15" w:type="dxa"/>
            </w:tcMar>
            <w:vAlign w:val="center"/>
          </w:tcPr>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1.办公室运行</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2.履行环境和社会责任</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3.召开项目启动会、中期评估、竣工验收会</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4.成果总结</w:t>
            </w:r>
          </w:p>
          <w:p>
            <w:pPr>
              <w:widowControl/>
              <w:snapToGrid w:val="0"/>
              <w:spacing w:line="300" w:lineRule="exact"/>
              <w:rPr>
                <w:rFonts w:ascii="Times New Roman" w:hAnsi="Times New Roman" w:eastAsia="仿宋_GB2312"/>
                <w:szCs w:val="21"/>
                <w:highlight w:val="none"/>
              </w:rPr>
            </w:pPr>
            <w:r>
              <w:rPr>
                <w:rFonts w:ascii="Times New Roman" w:hAnsi="Times New Roman" w:eastAsia="仿宋_GB2312"/>
                <w:szCs w:val="21"/>
                <w:highlight w:val="none"/>
              </w:rPr>
              <w:t>5.提交中期评估和最终评估报告</w:t>
            </w:r>
          </w:p>
        </w:tc>
        <w:tc>
          <w:tcPr>
            <w:tcW w:w="366" w:type="pct"/>
            <w:tcBorders>
              <w:top w:val="single" w:color="000000" w:sz="8" w:space="0"/>
              <w:left w:val="nil"/>
              <w:bottom w:val="single" w:color="000000" w:sz="12" w:space="0"/>
              <w:right w:val="single" w:color="000000" w:sz="8" w:space="0"/>
            </w:tcBorders>
            <w:tcMar>
              <w:top w:w="15" w:type="dxa"/>
              <w:left w:w="15" w:type="dxa"/>
              <w:right w:w="15" w:type="dxa"/>
            </w:tcMar>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hint="eastAsia" w:ascii="Times New Roman" w:hAnsi="Times New Roman" w:eastAsia="仿宋_GB2312"/>
                <w:szCs w:val="21"/>
                <w:highlight w:val="none"/>
              </w:rPr>
              <w:t>TA</w:t>
            </w:r>
            <w:r>
              <w:rPr>
                <w:rFonts w:ascii="Times New Roman" w:hAnsi="Times New Roman" w:eastAsia="仿宋_GB2312"/>
                <w:szCs w:val="21"/>
                <w:highlight w:val="none"/>
              </w:rPr>
              <w:t xml:space="preserve"> III</w:t>
            </w:r>
          </w:p>
        </w:tc>
        <w:tc>
          <w:tcPr>
            <w:tcW w:w="948" w:type="pct"/>
            <w:tcBorders>
              <w:top w:val="single" w:color="000000" w:sz="8" w:space="0"/>
              <w:left w:val="nil"/>
              <w:bottom w:val="single" w:color="000000" w:sz="12" w:space="0"/>
              <w:right w:val="single" w:color="auto" w:sz="4" w:space="0"/>
            </w:tcBorders>
            <w:tcMar>
              <w:top w:w="15" w:type="dxa"/>
              <w:left w:w="15" w:type="dxa"/>
              <w:right w:w="15" w:type="dxa"/>
            </w:tcMar>
            <w:vAlign w:val="center"/>
          </w:tcPr>
          <w:p>
            <w:pPr>
              <w:widowControl/>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无潜在环境风险。</w:t>
            </w:r>
          </w:p>
        </w:tc>
        <w:tc>
          <w:tcPr>
            <w:tcW w:w="1019" w:type="pct"/>
            <w:tcBorders>
              <w:top w:val="single" w:color="000000" w:sz="8" w:space="0"/>
              <w:left w:val="single" w:color="auto" w:sz="4" w:space="0"/>
              <w:bottom w:val="single" w:color="000000" w:sz="12" w:space="0"/>
              <w:right w:val="single" w:color="000000" w:sz="8" w:space="0"/>
            </w:tcBorders>
            <w:vAlign w:val="center"/>
          </w:tcPr>
          <w:p>
            <w:pPr>
              <w:widowControl/>
              <w:snapToGrid w:val="0"/>
              <w:spacing w:line="300" w:lineRule="exact"/>
              <w:ind w:left="42" w:leftChars="20" w:right="42" w:rightChars="20"/>
              <w:jc w:val="center"/>
              <w:rPr>
                <w:rFonts w:ascii="Times New Roman" w:hAnsi="Times New Roman" w:eastAsia="仿宋_GB2312"/>
                <w:szCs w:val="21"/>
                <w:highlight w:val="none"/>
              </w:rPr>
            </w:pPr>
            <w:r>
              <w:rPr>
                <w:rFonts w:ascii="Times New Roman" w:hAnsi="Times New Roman" w:eastAsia="仿宋_GB2312"/>
                <w:szCs w:val="21"/>
                <w:highlight w:val="none"/>
              </w:rPr>
              <w:t>无潜在社会风险</w:t>
            </w:r>
          </w:p>
        </w:tc>
        <w:tc>
          <w:tcPr>
            <w:tcW w:w="486" w:type="pct"/>
            <w:tcBorders>
              <w:top w:val="single" w:color="000000" w:sz="8" w:space="0"/>
              <w:left w:val="nil"/>
              <w:bottom w:val="single" w:color="000000" w:sz="12" w:space="0"/>
              <w:right w:val="single" w:color="000000" w:sz="8"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环境低风险</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社会低风险</w:t>
            </w:r>
          </w:p>
        </w:tc>
        <w:tc>
          <w:tcPr>
            <w:tcW w:w="750" w:type="pct"/>
            <w:tcBorders>
              <w:top w:val="single" w:color="000000" w:sz="8" w:space="0"/>
              <w:left w:val="nil"/>
              <w:bottom w:val="single" w:color="000000" w:sz="12" w:space="0"/>
            </w:tcBorders>
            <w:vAlign w:val="center"/>
          </w:tcPr>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环境社会管理框架(ESMF)</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劳工管理程序框架（LMP）</w:t>
            </w:r>
          </w:p>
          <w:p>
            <w:pPr>
              <w:snapToGrid w:val="0"/>
              <w:spacing w:line="300" w:lineRule="exact"/>
              <w:ind w:left="42" w:leftChars="20" w:right="42" w:rightChars="20"/>
              <w:rPr>
                <w:rFonts w:ascii="Times New Roman" w:hAnsi="Times New Roman" w:eastAsia="仿宋_GB2312"/>
                <w:szCs w:val="21"/>
                <w:highlight w:val="none"/>
              </w:rPr>
            </w:pPr>
            <w:r>
              <w:rPr>
                <w:rFonts w:ascii="Times New Roman" w:hAnsi="Times New Roman" w:eastAsia="仿宋_GB2312"/>
                <w:szCs w:val="21"/>
                <w:highlight w:val="none"/>
              </w:rPr>
              <w:t>利益相关方参与计划(SEP)</w:t>
            </w:r>
          </w:p>
        </w:tc>
      </w:tr>
    </w:tbl>
    <w:p>
      <w:pPr>
        <w:snapToGrid w:val="0"/>
        <w:spacing w:line="520" w:lineRule="exact"/>
        <w:rPr>
          <w:rFonts w:ascii="Times New Roman" w:hAnsi="Times New Roman" w:eastAsia="微软雅黑 Light"/>
          <w:sz w:val="24"/>
          <w:szCs w:val="24"/>
          <w:highlight w:val="none"/>
        </w:rPr>
        <w:sectPr>
          <w:pgSz w:w="11900" w:h="16838"/>
          <w:pgMar w:top="1440" w:right="1803" w:bottom="1440" w:left="1803" w:header="851" w:footer="992" w:gutter="0"/>
          <w:cols w:space="0" w:num="1"/>
          <w:docGrid w:type="lines" w:linePitch="325" w:charSpace="0"/>
        </w:sectPr>
      </w:pP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65" w:name="_Toc531828001"/>
      <w:r>
        <w:rPr>
          <w:rFonts w:ascii="Times New Roman" w:hAnsi="Times New Roman" w:eastAsia="楷体_GB2312"/>
          <w:bCs w:val="0"/>
          <w:highlight w:val="none"/>
        </w:rPr>
        <w:t xml:space="preserve"> 环境和社会影响分析</w:t>
      </w:r>
      <w:bookmarkEnd w:id="65"/>
    </w:p>
    <w:p>
      <w:pPr>
        <w:widowControl/>
        <w:snapToGrid w:val="0"/>
        <w:spacing w:line="360" w:lineRule="auto"/>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本</w:t>
      </w:r>
      <w:r>
        <w:rPr>
          <w:rFonts w:ascii="Times New Roman" w:hAnsi="Times New Roman" w:eastAsia="仿宋_GB2312"/>
          <w:kern w:val="0"/>
          <w:sz w:val="32"/>
          <w:szCs w:val="32"/>
          <w:highlight w:val="none"/>
        </w:rPr>
        <w:t>项目</w:t>
      </w:r>
      <w:r>
        <w:rPr>
          <w:rFonts w:hint="eastAsia" w:ascii="Times New Roman" w:hAnsi="Times New Roman" w:eastAsia="仿宋_GB2312"/>
          <w:kern w:val="0"/>
          <w:sz w:val="32"/>
          <w:szCs w:val="32"/>
          <w:highlight w:val="none"/>
        </w:rPr>
        <w:t>的</w:t>
      </w:r>
      <w:r>
        <w:rPr>
          <w:rFonts w:ascii="Times New Roman" w:hAnsi="Times New Roman" w:eastAsia="仿宋_GB2312"/>
          <w:kern w:val="0"/>
          <w:sz w:val="32"/>
          <w:szCs w:val="32"/>
          <w:highlight w:val="none"/>
        </w:rPr>
        <w:t>主要环境风险</w:t>
      </w:r>
      <w:r>
        <w:rPr>
          <w:rFonts w:hint="eastAsia" w:ascii="Times New Roman" w:hAnsi="Times New Roman" w:eastAsia="仿宋_GB2312"/>
          <w:kern w:val="0"/>
          <w:sz w:val="32"/>
          <w:szCs w:val="32"/>
          <w:highlight w:val="none"/>
        </w:rPr>
        <w:t>包括</w:t>
      </w:r>
      <w:r>
        <w:rPr>
          <w:rFonts w:ascii="Times New Roman" w:hAnsi="Times New Roman" w:eastAsia="仿宋_GB2312"/>
          <w:kern w:val="0"/>
          <w:sz w:val="32"/>
          <w:szCs w:val="32"/>
          <w:highlight w:val="none"/>
        </w:rPr>
        <w:t>：运营期的增量检测试剂盒等危险废物的产生及从业人员的职业健康安全风险</w:t>
      </w:r>
      <w:r>
        <w:rPr>
          <w:rFonts w:hint="eastAsia" w:ascii="Times New Roman" w:hAnsi="Times New Roman" w:eastAsia="仿宋_GB2312"/>
          <w:kern w:val="0"/>
          <w:sz w:val="32"/>
          <w:szCs w:val="32"/>
          <w:highlight w:val="none"/>
        </w:rPr>
        <w:t>；人兽共患病调研潜在的环境风险和职业健康风险；编制的技术指南如果将来被采纳并实施可能存在潜在的下游环境社会影响</w:t>
      </w:r>
      <w:r>
        <w:rPr>
          <w:rFonts w:ascii="Times New Roman" w:hAnsi="Times New Roman" w:eastAsia="仿宋_GB2312"/>
          <w:kern w:val="0"/>
          <w:sz w:val="32"/>
          <w:szCs w:val="32"/>
          <w:highlight w:val="none"/>
        </w:rPr>
        <w:t>。</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社会风险分析包括：社区健康与安全风险，如实验废物的处理，运输和处置过程中的社区健康和安全问题；缺乏有效利益相关者参与致使项目不可持续包容性不足。</w:t>
      </w:r>
    </w:p>
    <w:p>
      <w:pPr>
        <w:widowControl/>
        <w:snapToGrid w:val="0"/>
        <w:spacing w:line="360" w:lineRule="auto"/>
        <w:ind w:firstLine="643" w:firstLineChars="20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（1）劳工和工作条件风险(ESS2)</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经分析，项目中涉及的检测实验室是一个潜在的危险工作场所，使其工作人员面临各种危险，特别是在新发传染病爆发期间的感染风险。因此可能存在劳工管理风险，如劳工健康与安全，承包商劳工管理等，设备使用过程中操作风险等。用人单位按照《中华人民共和国劳动法》(2018年修订)和《劳动合同法》(2012年修订)、《青岛市劳动合同制度实施办法》等所有相关法律法规的要求对劳工进行管理，法律禁止强制劳工和/或童工，对工资标准、工作时间、劳动保护和劳资纠纷也进行了规定，这</w:t>
      </w:r>
      <w:r>
        <w:rPr>
          <w:rFonts w:hint="eastAsia" w:ascii="Times New Roman" w:hAnsi="Times New Roman" w:eastAsia="仿宋_GB2312"/>
          <w:kern w:val="0"/>
          <w:sz w:val="32"/>
          <w:szCs w:val="32"/>
          <w:highlight w:val="none"/>
        </w:rPr>
        <w:t>基本</w:t>
      </w:r>
      <w:r>
        <w:rPr>
          <w:rFonts w:ascii="Times New Roman" w:hAnsi="Times New Roman" w:eastAsia="仿宋_GB2312"/>
          <w:kern w:val="0"/>
          <w:sz w:val="32"/>
          <w:szCs w:val="32"/>
          <w:highlight w:val="none"/>
        </w:rPr>
        <w:t>符合ESS2的相关要求。考虑到项目的性质和中国、省市有关劳动保护的全面规定以及青岛市政府日益加强的劳动监督，以及设施建设会通过招标采购合格的承包商。同时参与该项目的主要承包商可能是供货服务和咨询服务，考虑到合格承包商的专业和高科技性质，使用童工和强制劳动</w:t>
      </w:r>
      <w:r>
        <w:rPr>
          <w:rFonts w:hint="eastAsia" w:ascii="Times New Roman" w:hAnsi="Times New Roman" w:eastAsia="仿宋_GB2312"/>
          <w:kern w:val="0"/>
          <w:sz w:val="32"/>
          <w:szCs w:val="32"/>
          <w:highlight w:val="none"/>
        </w:rPr>
        <w:t>的可能性很低</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在职业健康安全方面，考虑到青岛地区及项目单位完善的质量管理体系、职业健康安全管理体系，以及完善的实验室和现场调研管理制度和经验，劳工职业健康安全方面的风险很低。</w:t>
      </w:r>
    </w:p>
    <w:p>
      <w:pPr>
        <w:widowControl/>
        <w:snapToGrid w:val="0"/>
        <w:spacing w:line="360" w:lineRule="auto"/>
        <w:ind w:firstLine="643" w:firstLineChars="20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（2）资源效率与污染预防和管理（ESS3）</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运营期间产生的废水、废气、固废和噪声若不经过妥善处理，会对空气、水和土地造成污染，并可能以威胁当地及区域人类、生态系统服务和环境的方式消耗有限的资源；项目涉及到的实验室固体废弃物的处理过程中可能产生收集、处理措施不当的问题，产生环境污染的风险，有可能会造成环境污染。</w:t>
      </w:r>
      <w:r>
        <w:rPr>
          <w:rFonts w:hint="eastAsia" w:ascii="Times New Roman" w:hAnsi="Times New Roman" w:eastAsia="仿宋_GB2312"/>
          <w:kern w:val="0"/>
          <w:sz w:val="32"/>
          <w:szCs w:val="32"/>
          <w:highlight w:val="none"/>
        </w:rPr>
        <w:t>但本项目下设备采购所支持的实验室，均</w:t>
      </w:r>
      <w:r>
        <w:rPr>
          <w:rFonts w:hint="eastAsia" w:ascii="Times New Roman" w:hAnsi="Times New Roman" w:eastAsia="仿宋_GB2312"/>
          <w:kern w:val="0"/>
          <w:sz w:val="32"/>
          <w:szCs w:val="32"/>
          <w:highlight w:val="none"/>
        </w:rPr>
        <w:t>已长期成熟运行，根据调研，所有实验室均已配置了废气、污水、废物等完备的污染防治设施，且运行正常，项目实验室均通过了CNAS</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实验室生物安全、I</w:t>
      </w:r>
      <w:r>
        <w:rPr>
          <w:rFonts w:ascii="Times New Roman" w:hAnsi="Times New Roman" w:eastAsia="仿宋_GB2312"/>
          <w:kern w:val="0"/>
          <w:sz w:val="32"/>
          <w:szCs w:val="32"/>
          <w:highlight w:val="none"/>
        </w:rPr>
        <w:t>SO/IEC</w:t>
      </w:r>
      <w:r>
        <w:rPr>
          <w:rFonts w:hint="eastAsia" w:ascii="Times New Roman" w:hAnsi="Times New Roman" w:eastAsia="仿宋_GB2312"/>
          <w:kern w:val="0"/>
          <w:sz w:val="32"/>
          <w:szCs w:val="32"/>
          <w:highlight w:val="none"/>
        </w:rPr>
        <w:t xml:space="preserve"> 17025、C</w:t>
      </w:r>
      <w:r>
        <w:rPr>
          <w:rFonts w:ascii="Times New Roman" w:hAnsi="Times New Roman" w:eastAsia="仿宋_GB2312"/>
          <w:kern w:val="0"/>
          <w:sz w:val="32"/>
          <w:szCs w:val="32"/>
          <w:highlight w:val="none"/>
        </w:rPr>
        <w:t>MA</w:t>
      </w:r>
      <w:r>
        <w:rPr>
          <w:rFonts w:hint="eastAsia" w:ascii="Times New Roman" w:hAnsi="Times New Roman" w:eastAsia="仿宋_GB2312"/>
          <w:kern w:val="0"/>
          <w:sz w:val="32"/>
          <w:szCs w:val="32"/>
          <w:highlight w:val="none"/>
        </w:rPr>
        <w:t>认证，符合GB19489—2008《实验室生物安全通用要求》、CNAS50346—2011《生物安全实验室建筑技术规范》、</w:t>
      </w:r>
      <w:r>
        <w:rPr>
          <w:rFonts w:ascii="Times New Roman" w:hAnsi="Times New Roman" w:eastAsia="仿宋_GB2312"/>
          <w:kern w:val="0"/>
          <w:sz w:val="32"/>
          <w:szCs w:val="32"/>
          <w:highlight w:val="none"/>
        </w:rPr>
        <w:t>CNAS-CL01：2018《</w:t>
      </w:r>
      <w:r>
        <w:rPr>
          <w:rFonts w:hint="eastAsia" w:ascii="Times New Roman" w:hAnsi="Times New Roman" w:eastAsia="仿宋_GB2312"/>
          <w:kern w:val="0"/>
          <w:sz w:val="32"/>
          <w:szCs w:val="32"/>
          <w:highlight w:val="none"/>
        </w:rPr>
        <w:t>检测和校准实验室能力认可准则</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以及</w:t>
      </w:r>
      <w:r>
        <w:rPr>
          <w:rFonts w:ascii="Times New Roman" w:hAnsi="Times New Roman" w:eastAsia="仿宋_GB2312"/>
          <w:kern w:val="0"/>
          <w:sz w:val="32"/>
          <w:szCs w:val="32"/>
          <w:highlight w:val="none"/>
        </w:rPr>
        <w:t>GB 14925-2010《实验动物环境</w:t>
      </w:r>
      <w:r>
        <w:rPr>
          <w:rFonts w:hint="eastAsia" w:ascii="Times New Roman" w:hAnsi="Times New Roman" w:eastAsia="仿宋_GB2312"/>
          <w:kern w:val="0"/>
          <w:sz w:val="32"/>
          <w:szCs w:val="32"/>
          <w:highlight w:val="none"/>
        </w:rPr>
        <w:t>及</w:t>
      </w:r>
      <w:r>
        <w:rPr>
          <w:rFonts w:ascii="Times New Roman" w:hAnsi="Times New Roman" w:eastAsia="仿宋_GB2312"/>
          <w:kern w:val="0"/>
          <w:sz w:val="32"/>
          <w:szCs w:val="32"/>
          <w:highlight w:val="none"/>
        </w:rPr>
        <w:t>设施》等</w:t>
      </w:r>
      <w:r>
        <w:rPr>
          <w:rFonts w:hint="eastAsia" w:ascii="Times New Roman" w:hAnsi="Times New Roman" w:eastAsia="仿宋_GB2312"/>
          <w:kern w:val="0"/>
          <w:sz w:val="32"/>
          <w:szCs w:val="32"/>
          <w:highlight w:val="none"/>
        </w:rPr>
        <w:t>标准对实验室设施环境的管理要求，自项目运行以来未发生环境或职业健康</w:t>
      </w:r>
      <w:r>
        <w:rPr>
          <w:rFonts w:hint="eastAsia" w:ascii="Times New Roman" w:hAnsi="Times New Roman" w:eastAsia="仿宋_GB2312"/>
          <w:kern w:val="0"/>
          <w:sz w:val="32"/>
          <w:szCs w:val="32"/>
          <w:highlight w:val="none"/>
        </w:rPr>
        <w:t>事故</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事件。本项目下新采购的设备运行产生的新增污染物可以利用现有的污染治理设施得到及时有效的处理。</w:t>
      </w:r>
    </w:p>
    <w:p>
      <w:pPr>
        <w:widowControl/>
        <w:snapToGrid w:val="0"/>
        <w:spacing w:line="360" w:lineRule="auto"/>
        <w:ind w:firstLine="643" w:firstLineChars="20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（3）社区健康与安全风险（ESS4）</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项目活动在实验室固体废弃物的处理，运输和处置过程中可能会造成周边社区的环境污染以及社区健康和交通运输安全问题。项目办</w:t>
      </w:r>
      <w:r>
        <w:rPr>
          <w:rFonts w:hint="eastAsia" w:ascii="Times New Roman" w:hAnsi="Times New Roman" w:eastAsia="仿宋_GB2312"/>
          <w:kern w:val="0"/>
          <w:sz w:val="32"/>
          <w:szCs w:val="32"/>
          <w:highlight w:val="none"/>
        </w:rPr>
        <w:t>具备完备的预防和应急</w:t>
      </w:r>
      <w:r>
        <w:rPr>
          <w:rFonts w:ascii="Times New Roman" w:hAnsi="Times New Roman" w:eastAsia="仿宋_GB2312"/>
          <w:kern w:val="0"/>
          <w:sz w:val="32"/>
          <w:szCs w:val="32"/>
          <w:highlight w:val="none"/>
        </w:rPr>
        <w:t>措施以</w:t>
      </w:r>
      <w:r>
        <w:rPr>
          <w:rFonts w:hint="eastAsia" w:ascii="Times New Roman" w:hAnsi="Times New Roman" w:eastAsia="仿宋_GB2312"/>
          <w:kern w:val="0"/>
          <w:sz w:val="32"/>
          <w:szCs w:val="32"/>
          <w:highlight w:val="none"/>
        </w:rPr>
        <w:t>将</w:t>
      </w:r>
      <w:r>
        <w:rPr>
          <w:rFonts w:ascii="Times New Roman" w:hAnsi="Times New Roman" w:eastAsia="仿宋_GB2312"/>
          <w:kern w:val="0"/>
          <w:sz w:val="32"/>
          <w:szCs w:val="32"/>
          <w:highlight w:val="none"/>
        </w:rPr>
        <w:t>社区接触传染病的可能性</w:t>
      </w:r>
      <w:r>
        <w:rPr>
          <w:rFonts w:hint="eastAsia" w:ascii="Times New Roman" w:hAnsi="Times New Roman" w:eastAsia="仿宋_GB2312"/>
          <w:kern w:val="0"/>
          <w:sz w:val="32"/>
          <w:szCs w:val="32"/>
          <w:highlight w:val="none"/>
        </w:rPr>
        <w:t>降到很低</w:t>
      </w:r>
      <w:r>
        <w:rPr>
          <w:rFonts w:ascii="Times New Roman" w:hAnsi="Times New Roman" w:eastAsia="仿宋_GB2312"/>
          <w:kern w:val="0"/>
          <w:sz w:val="32"/>
          <w:szCs w:val="32"/>
          <w:highlight w:val="none"/>
        </w:rPr>
        <w:t>；确保因特殊情况而可能处于不利地位或易受伤害的个人或团体可获得项目所产生的发展利益。</w:t>
      </w:r>
    </w:p>
    <w:p>
      <w:pPr>
        <w:widowControl/>
        <w:snapToGrid w:val="0"/>
        <w:spacing w:line="360" w:lineRule="auto"/>
        <w:ind w:firstLine="643" w:firstLineChars="200"/>
        <w:rPr>
          <w:rFonts w:ascii="Times New Roman" w:hAnsi="Times New Roman" w:eastAsia="仿宋_GB2312"/>
          <w:b/>
          <w:kern w:val="0"/>
          <w:sz w:val="32"/>
          <w:szCs w:val="32"/>
          <w:highlight w:val="none"/>
        </w:rPr>
      </w:pPr>
      <w:r>
        <w:rPr>
          <w:rFonts w:ascii="Times New Roman" w:hAnsi="Times New Roman" w:eastAsia="仿宋_GB2312"/>
          <w:b/>
          <w:kern w:val="0"/>
          <w:sz w:val="32"/>
          <w:szCs w:val="32"/>
          <w:highlight w:val="none"/>
        </w:rPr>
        <w:t>（4）利益相关方和信息公开与参与(ESS10)</w:t>
      </w:r>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除了相关部门外，项目的主要利益相关者包括</w:t>
      </w:r>
      <w:r>
        <w:rPr>
          <w:rFonts w:hint="eastAsia" w:ascii="Times New Roman" w:hAnsi="Times New Roman" w:eastAsia="仿宋_GB2312"/>
          <w:kern w:val="0"/>
          <w:sz w:val="32"/>
          <w:szCs w:val="32"/>
          <w:highlight w:val="none"/>
        </w:rPr>
        <w:t>畜禽养殖户、动物疫病防控人员、相关实验室中的科研人员、社区居民</w:t>
      </w:r>
      <w:r>
        <w:rPr>
          <w:rFonts w:ascii="Times New Roman" w:hAnsi="Times New Roman" w:eastAsia="仿宋_GB2312"/>
          <w:kern w:val="0"/>
          <w:sz w:val="32"/>
          <w:szCs w:val="32"/>
          <w:highlight w:val="none"/>
        </w:rPr>
        <w:t>，以及传染病患者、老人、妇女、低收入人群等弱势群体。技术研究类的项目活动中存在利益相关者参与不充分的风险，特别是弱势群体包容性</w:t>
      </w:r>
      <w:r>
        <w:rPr>
          <w:rFonts w:hint="eastAsia" w:ascii="Times New Roman" w:hAnsi="Times New Roman" w:eastAsia="仿宋_GB2312"/>
          <w:kern w:val="0"/>
          <w:sz w:val="32"/>
          <w:szCs w:val="32"/>
          <w:highlight w:val="none"/>
        </w:rPr>
        <w:t>不足</w:t>
      </w:r>
      <w:r>
        <w:rPr>
          <w:rFonts w:ascii="Times New Roman" w:hAnsi="Times New Roman" w:eastAsia="仿宋_GB2312"/>
          <w:kern w:val="0"/>
          <w:sz w:val="32"/>
          <w:szCs w:val="32"/>
          <w:highlight w:val="none"/>
        </w:rPr>
        <w:t>风险。另外，信息披露或磋商不及时、不充分会影响项目的目标的实现。因此应该通过有效的利益相关方参与方式，通过制定利益相关方识别、参与需求评估或利益与关注分析、参与方法评估和参与计划的机制，编制《利益相关方参与计划》（SEP），SEP旨在在整个项目中实现有意义的参与，以最大程度地</w:t>
      </w:r>
      <w:r>
        <w:rPr>
          <w:rFonts w:hint="eastAsia" w:ascii="Times New Roman" w:hAnsi="Times New Roman" w:eastAsia="仿宋_GB2312"/>
          <w:kern w:val="0"/>
          <w:sz w:val="32"/>
          <w:szCs w:val="32"/>
          <w:highlight w:val="none"/>
        </w:rPr>
        <w:t>实现相关课题、培训活动的产出价值</w:t>
      </w:r>
      <w:r>
        <w:rPr>
          <w:rFonts w:ascii="Times New Roman" w:hAnsi="Times New Roman" w:eastAsia="仿宋_GB2312"/>
          <w:kern w:val="0"/>
          <w:sz w:val="32"/>
          <w:szCs w:val="32"/>
          <w:highlight w:val="none"/>
        </w:rPr>
        <w:t>。</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66" w:name="_Toc2006449114"/>
      <w:bookmarkStart w:id="67" w:name="_Toc56247279"/>
      <w:r>
        <w:rPr>
          <w:rFonts w:ascii="Times New Roman" w:hAnsi="Times New Roman" w:eastAsia="楷体_GB2312"/>
          <w:bCs w:val="0"/>
          <w:highlight w:val="none"/>
        </w:rPr>
        <w:t xml:space="preserve"> 环境与社会风险管理</w:t>
      </w:r>
      <w:bookmarkEnd w:id="66"/>
      <w:bookmarkEnd w:id="67"/>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sz w:val="32"/>
          <w:szCs w:val="32"/>
          <w:highlight w:val="none"/>
        </w:rPr>
        <w:t>本项目内容主要为</w:t>
      </w:r>
      <w:r>
        <w:rPr>
          <w:rFonts w:hint="eastAsia" w:ascii="Times New Roman" w:hAnsi="Times New Roman" w:eastAsia="仿宋_GB2312"/>
          <w:sz w:val="32"/>
          <w:szCs w:val="32"/>
          <w:highlight w:val="none"/>
        </w:rPr>
        <w:t>实验室</w:t>
      </w:r>
      <w:r>
        <w:rPr>
          <w:rFonts w:ascii="Times New Roman" w:hAnsi="Times New Roman" w:eastAsia="仿宋_GB2312"/>
          <w:sz w:val="32"/>
          <w:szCs w:val="32"/>
          <w:highlight w:val="none"/>
        </w:rPr>
        <w:t>设备采购、科研、培训，</w:t>
      </w:r>
      <w:r>
        <w:rPr>
          <w:rFonts w:ascii="Times New Roman" w:hAnsi="Times New Roman" w:eastAsia="仿宋_GB2312"/>
          <w:kern w:val="0"/>
          <w:sz w:val="32"/>
          <w:szCs w:val="32"/>
          <w:highlight w:val="none"/>
        </w:rPr>
        <w:t>考虑到本次项目活动所涉及的上述环境社会风险，基于世界银行环境社会框架的政策要求，本次项目活动在设计和执行过程中应考虑以下环境社会管理的基本原则：</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（1）将环境和社会目标纳入项目进程，特别是针对独立的“面向过程的”活动，例如涉及规划、目标设定、替代分析、成本效益评估、技术设计、建立共识等的活动</w:t>
      </w:r>
      <w:r>
        <w:rPr>
          <w:rFonts w:hint="eastAsia" w:ascii="Times New Roman" w:hAnsi="Times New Roman" w:eastAsia="仿宋_GB2312"/>
          <w:sz w:val="32"/>
          <w:szCs w:val="32"/>
          <w:highlight w:val="none"/>
        </w:rPr>
        <w:t>，将在项目产出文件中设立专门的章节分析相关的环境社会因素</w:t>
      </w:r>
      <w:r>
        <w:rPr>
          <w:rFonts w:ascii="Times New Roman" w:hAnsi="Times New Roman" w:eastAsia="仿宋_GB2312"/>
          <w:sz w:val="32"/>
          <w:szCs w:val="32"/>
          <w:highlight w:val="none"/>
        </w:rPr>
        <w:t>。</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（2）通过利益攸关方的参与和公共信息披露促进透明度，以根据ESS10促进利益攸关方的广泛参与，特别是在规划过程的所有关键阶段。</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3</w:t>
      </w:r>
      <w:r>
        <w:rPr>
          <w:rFonts w:ascii="Times New Roman" w:hAnsi="Times New Roman" w:eastAsia="仿宋_GB2312"/>
          <w:sz w:val="32"/>
          <w:szCs w:val="32"/>
          <w:highlight w:val="none"/>
        </w:rPr>
        <w:t>）促进环境和社会能力建设及机构加强。作为项目设计的一部分，通过政策、培训和制定技术标准、监测和报告等形式，加强职能部门或执行机构和其他政府/非政府机构的环境和社会</w:t>
      </w:r>
      <w:r>
        <w:rPr>
          <w:rFonts w:hint="eastAsia" w:ascii="Times New Roman" w:hAnsi="Times New Roman" w:eastAsia="仿宋_GB2312"/>
          <w:sz w:val="32"/>
          <w:szCs w:val="32"/>
          <w:highlight w:val="none"/>
        </w:rPr>
        <w:t>管理</w:t>
      </w:r>
      <w:r>
        <w:rPr>
          <w:rFonts w:ascii="Times New Roman" w:hAnsi="Times New Roman" w:eastAsia="仿宋_GB2312"/>
          <w:sz w:val="32"/>
          <w:szCs w:val="32"/>
          <w:highlight w:val="none"/>
        </w:rPr>
        <w:t>能力。</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具体针对不同类型的活动，相应环境社会减缓措施如下：</w:t>
      </w:r>
    </w:p>
    <w:p>
      <w:pPr>
        <w:pStyle w:val="2"/>
        <w:snapToGrid w:val="0"/>
        <w:spacing w:line="360" w:lineRule="auto"/>
        <w:ind w:left="220"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设备采购：鼓励绿色采购</w:t>
      </w:r>
      <w:r>
        <w:rPr>
          <w:rFonts w:hint="eastAsia" w:ascii="Times New Roman" w:hAnsi="Times New Roman" w:eastAsia="仿宋_GB2312"/>
          <w:sz w:val="32"/>
          <w:szCs w:val="32"/>
          <w:highlight w:val="none"/>
        </w:rPr>
        <w:t>，鼓励以具有竞争性的价格购买节能降耗、生态友好型产品和服务。</w:t>
      </w:r>
    </w:p>
    <w:p>
      <w:pPr>
        <w:snapToGrid w:val="0"/>
        <w:spacing w:line="360" w:lineRule="auto"/>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技术援助TA</w:t>
      </w:r>
      <w:r>
        <w:rPr>
          <w:rFonts w:ascii="Times New Roman" w:hAnsi="Times New Roman" w:eastAsia="仿宋_GB2312"/>
          <w:b/>
          <w:sz w:val="32"/>
          <w:szCs w:val="32"/>
          <w:highlight w:val="none"/>
        </w:rPr>
        <w:t xml:space="preserve"> II：</w:t>
      </w:r>
      <w:r>
        <w:rPr>
          <w:rFonts w:ascii="Times New Roman" w:hAnsi="Times New Roman" w:eastAsia="仿宋_GB2312"/>
          <w:sz w:val="32"/>
          <w:szCs w:val="32"/>
          <w:highlight w:val="none"/>
        </w:rPr>
        <w:t>课题研究，考虑到这些研究活动的潜在下游环境和社会风险/影响，要求在研究过程中按照ESF的要求，充分评估下游的环境与社会潜在风险/影响，并在研究成果中建议针对下游潜在影响的应对措施。为确保在项目实施过程中有效落实上述环境社会管理要求，在开展此类研究之前，</w:t>
      </w:r>
      <w:r>
        <w:rPr>
          <w:rFonts w:hint="eastAsia" w:ascii="Times New Roman" w:hAnsi="Times New Roman" w:eastAsia="仿宋_GB2312"/>
          <w:sz w:val="32"/>
          <w:szCs w:val="32"/>
          <w:highlight w:val="none"/>
        </w:rPr>
        <w:t>相关</w:t>
      </w:r>
      <w:r>
        <w:rPr>
          <w:rFonts w:ascii="Times New Roman" w:hAnsi="Times New Roman" w:eastAsia="仿宋_GB2312"/>
          <w:sz w:val="32"/>
          <w:szCs w:val="32"/>
          <w:highlight w:val="none"/>
        </w:rPr>
        <w:t>研究的</w:t>
      </w:r>
      <w:r>
        <w:rPr>
          <w:rFonts w:hint="eastAsia" w:ascii="Times New Roman" w:hAnsi="Times New Roman" w:eastAsia="仿宋_GB2312"/>
          <w:sz w:val="32"/>
          <w:szCs w:val="32"/>
          <w:highlight w:val="none"/>
        </w:rPr>
        <w:t>工作大纲（</w:t>
      </w:r>
      <w:r>
        <w:rPr>
          <w:rFonts w:ascii="Times New Roman" w:hAnsi="Times New Roman" w:eastAsia="仿宋_GB2312"/>
          <w:sz w:val="32"/>
          <w:szCs w:val="32"/>
          <w:highlight w:val="none"/>
        </w:rPr>
        <w:t>ToRs</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需提交世界银行审查，以确保相关环境与社会风险的考量纳入了ToRs。另外，这些活动开展过程中，需要确保各利益相关者的有效参与，包括老人，妇女，贫困群体、少数民族等弱势群体，因此，在项目准备和实施阶段，需根据本项目的利益相关方参与计划（SEP）进一步识别利益相关方及其需求，并进行信息公开、公众参与和意见反馈。</w:t>
      </w:r>
    </w:p>
    <w:p>
      <w:pPr>
        <w:snapToGrid w:val="0"/>
        <w:spacing w:line="360" w:lineRule="auto"/>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技术援助TA</w:t>
      </w:r>
      <w:r>
        <w:rPr>
          <w:rFonts w:ascii="Times New Roman" w:hAnsi="Times New Roman" w:eastAsia="仿宋_GB2312"/>
          <w:b/>
          <w:sz w:val="32"/>
          <w:szCs w:val="32"/>
          <w:highlight w:val="none"/>
        </w:rPr>
        <w:t>III：</w:t>
      </w:r>
      <w:r>
        <w:rPr>
          <w:rFonts w:ascii="Times New Roman" w:hAnsi="Times New Roman" w:eastAsia="仿宋_GB2312"/>
          <w:sz w:val="32"/>
          <w:szCs w:val="32"/>
          <w:highlight w:val="none"/>
        </w:rPr>
        <w:t>能力建设活动。基于前文的环境社会风险识别，本次项目活动下的能力建设基本不涉及环境影响，但是在社会方面，需要充分考虑在交流、培训等活动中各利益相关方</w:t>
      </w:r>
      <w:r>
        <w:rPr>
          <w:rFonts w:hint="eastAsia" w:ascii="Times New Roman" w:hAnsi="Times New Roman" w:eastAsia="仿宋_GB2312"/>
          <w:sz w:val="32"/>
          <w:szCs w:val="32"/>
          <w:highlight w:val="none"/>
        </w:rPr>
        <w:t>的不同诉求</w:t>
      </w:r>
      <w:r>
        <w:rPr>
          <w:rFonts w:ascii="Times New Roman" w:hAnsi="Times New Roman" w:eastAsia="仿宋_GB2312"/>
          <w:sz w:val="32"/>
          <w:szCs w:val="32"/>
          <w:highlight w:val="none"/>
        </w:rPr>
        <w:t>，包括老人，妇女，贫困群体等弱势群体</w:t>
      </w:r>
      <w:r>
        <w:rPr>
          <w:rFonts w:hint="eastAsia" w:ascii="Times New Roman" w:hAnsi="Times New Roman" w:eastAsia="仿宋_GB2312"/>
          <w:sz w:val="32"/>
          <w:szCs w:val="32"/>
          <w:highlight w:val="none"/>
        </w:rPr>
        <w:t>的有效参与</w:t>
      </w:r>
      <w:r>
        <w:rPr>
          <w:rFonts w:ascii="Times New Roman" w:hAnsi="Times New Roman" w:eastAsia="仿宋_GB2312"/>
          <w:sz w:val="32"/>
          <w:szCs w:val="32"/>
          <w:highlight w:val="none"/>
        </w:rPr>
        <w:t>。在开展这些活动之前，</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编制相关ToRs时需根据本项目的利益相关者参与计划（SEP）以及具体活动内容，考虑利益相关方（包括弱势群体）的充分有效参与；在活动实施过程中，需对照利益相关方参与计划（SEP）进行信息公开、公众参与及意见反馈。</w:t>
      </w:r>
    </w:p>
    <w:p>
      <w:pPr>
        <w:pStyle w:val="3"/>
        <w:numPr>
          <w:ilvl w:val="0"/>
          <w:numId w:val="2"/>
        </w:numPr>
        <w:snapToGrid w:val="0"/>
        <w:spacing w:before="0" w:after="0"/>
        <w:ind w:left="0" w:firstLine="0"/>
        <w:rPr>
          <w:rFonts w:ascii="Times New Roman" w:hAnsi="Times New Roman" w:eastAsia="黑体"/>
          <w:b w:val="0"/>
          <w:bCs w:val="0"/>
          <w:sz w:val="32"/>
          <w:szCs w:val="32"/>
          <w:highlight w:val="none"/>
        </w:rPr>
      </w:pPr>
      <w:bookmarkStart w:id="68" w:name="_Toc578907869"/>
      <w:r>
        <w:rPr>
          <w:rFonts w:ascii="Times New Roman" w:hAnsi="Times New Roman" w:eastAsia="黑体"/>
          <w:b w:val="0"/>
          <w:bCs w:val="0"/>
          <w:sz w:val="32"/>
          <w:szCs w:val="32"/>
          <w:highlight w:val="none"/>
        </w:rPr>
        <w:t>环境和社会管理程序</w:t>
      </w:r>
      <w:bookmarkEnd w:id="68"/>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根据前一章对本次项目活动潜在的环境社会风险的梳理，本框架针对需要关注潜在风险的活动及其关联设施（活动），制定了以下环境与社会管理程序，用于子项目的筛选、准备和实施过程中的环境社会管理。</w:t>
      </w:r>
    </w:p>
    <w:p>
      <w:pPr>
        <w:pStyle w:val="2"/>
        <w:rPr>
          <w:highlight w:val="none"/>
        </w:rPr>
      </w:pPr>
      <w:r>
        <w:rPr>
          <w:highlight w:val="none"/>
        </w:rPr>
        <w:pict>
          <v:group id="组合 53" o:spid="_x0000_s2103" o:spt="203" style="height:361.7pt;width:400.1pt;" coordorigin="-413,0" coordsize="50761,40239">
            <o:lock v:ext="edit"/>
            <v:shape id="标注: 线形 3" o:spid="_x0000_s2104" o:spt="47" type="#_x0000_t47" style="position:absolute;left:24411;top:3755;height:5962;width:15609;v-text-anchor:middle;" fillcolor="#B5D5A7" filled="t" stroked="t" coordsize="21600,21600" adj="-3511,3699,-613,3634">
              <v:path arrowok="t"/>
              <v:fill type="gradient" on="t" color2="#9CCA86" colors="0f #B5D5A7;32768f #AACE99;65536f #9CCA86" focus="100%" focussize="0f,0f" rotate="t">
                <o:fill type="gradientUnscaled" v:ext="backwardCompatible"/>
              </v:fill>
              <v:stroke weight="0.5pt" color="#70AD47" joinstyle="miter"/>
              <v:imagedata o:title=""/>
              <o:lock v:ext="edit"/>
              <v:shadow on="t" color="#BFBFBF" offset="2.82842519685039pt,2.82842519685039pt"/>
              <v:textbox>
                <w:txbxContent>
                  <w:p>
                    <w:pPr>
                      <w:snapToGrid w:val="0"/>
                      <w:jc w:val="left"/>
                      <w:rPr>
                        <w:rFonts w:ascii="Times New Roman" w:hAnsi="Times New Roman" w:eastAsia="微软雅黑 Light"/>
                        <w:sz w:val="20"/>
                        <w:szCs w:val="20"/>
                      </w:rPr>
                    </w:pPr>
                    <w:r>
                      <w:rPr>
                        <w:rFonts w:ascii="Times New Roman" w:hAnsi="Times New Roman" w:eastAsia="微软雅黑 Light"/>
                        <w:sz w:val="20"/>
                        <w:szCs w:val="20"/>
                      </w:rPr>
                      <w:t>-  应用排除清单</w:t>
                    </w:r>
                  </w:p>
                  <w:p>
                    <w:pPr>
                      <w:snapToGrid w:val="0"/>
                      <w:ind w:left="284" w:hanging="284" w:hangingChars="142"/>
                      <w:jc w:val="left"/>
                      <w:rPr>
                        <w:rFonts w:ascii="Times New Roman" w:hAnsi="Times New Roman" w:eastAsia="微软雅黑 Light"/>
                        <w:sz w:val="20"/>
                        <w:szCs w:val="20"/>
                      </w:rPr>
                    </w:pPr>
                    <w:r>
                      <w:rPr>
                        <w:rFonts w:ascii="Times New Roman" w:hAnsi="Times New Roman" w:eastAsia="微软雅黑 Light"/>
                        <w:sz w:val="20"/>
                        <w:szCs w:val="20"/>
                      </w:rPr>
                      <w:t>-  环境与社会风险筛查</w:t>
                    </w:r>
                    <w:r>
                      <w:rPr>
                        <w:rFonts w:hint="eastAsia" w:ascii="Times New Roman" w:hAnsi="Times New Roman" w:eastAsia="微软雅黑 Light"/>
                        <w:sz w:val="20"/>
                        <w:szCs w:val="20"/>
                      </w:rPr>
                      <w:t>，提交世行确认</w:t>
                    </w:r>
                  </w:p>
                </w:txbxContent>
              </v:textbox>
            </v:shape>
            <v:shape id="标注: 线形 26" o:spid="_x0000_s2105" o:spt="47" type="#_x0000_t47" style="position:absolute;left:23679;top:11675;height:2875;width:15610;v-text-anchor:middle;" fillcolor="#B5D5A7" filled="t" stroked="t" coordsize="21600,21600" adj="-2648,11920,-62,11931">
              <v:path arrowok="t"/>
              <v:fill type="gradient" on="t" color2="#9CCA86" colors="0f #B5D5A7;32768f #AACE99;65536f #9CCA86" focus="100%" focussize="0f,0f" rotate="t">
                <o:fill type="gradientUnscaled" v:ext="backwardCompatible"/>
              </v:fill>
              <v:stroke weight="0.5pt" color="#70AD47" joinstyle="miter"/>
              <v:imagedata o:title=""/>
              <o:lock v:ext="edit"/>
              <v:shadow on="t" color="#BFBFBF" offset="2.82842519685039pt,2.82842519685039pt"/>
              <v:textbox>
                <w:txbxContent>
                  <w:p>
                    <w:pPr>
                      <w:snapToGrid w:val="0"/>
                      <w:jc w:val="left"/>
                      <w:rPr>
                        <w:rFonts w:ascii="Times New Roman" w:hAnsi="Times New Roman" w:eastAsia="微软雅黑 Light"/>
                        <w:sz w:val="20"/>
                        <w:szCs w:val="20"/>
                      </w:rPr>
                    </w:pPr>
                    <w:r>
                      <w:rPr>
                        <w:rFonts w:ascii="Times New Roman" w:hAnsi="Times New Roman" w:eastAsia="微软雅黑 Light"/>
                        <w:sz w:val="20"/>
                        <w:szCs w:val="20"/>
                      </w:rPr>
                      <w:t xml:space="preserve">-  </w:t>
                    </w:r>
                    <w:r>
                      <w:rPr>
                        <w:rFonts w:hint="eastAsia" w:ascii="Times New Roman" w:hAnsi="Times New Roman" w:eastAsia="微软雅黑 Light"/>
                        <w:sz w:val="20"/>
                        <w:szCs w:val="20"/>
                      </w:rPr>
                      <w:t>准备</w:t>
                    </w:r>
                    <w:r>
                      <w:rPr>
                        <w:rFonts w:ascii="Times New Roman" w:hAnsi="Times New Roman" w:eastAsia="微软雅黑 Light"/>
                        <w:sz w:val="20"/>
                        <w:szCs w:val="20"/>
                      </w:rPr>
                      <w:t>E&amp;S 文件</w:t>
                    </w:r>
                  </w:p>
                </w:txbxContent>
              </v:textbox>
            </v:shape>
            <v:shape id="标注: 线形 27" o:spid="_x0000_s2106" o:spt="47" type="#_x0000_t47" style="position:absolute;left:24341;top:19452;height:4334;width:15679;v-text-anchor:middle;" fillcolor="#B5D5A7" filled="t" stroked="t" coordsize="21600,21600" adj="-3597,8029,-338,8071">
              <v:path arrowok="t"/>
              <v:fill type="gradient" on="t" color2="#9CCA86" colors="0f #B5D5A7;32768f #AACE99;65536f #9CCA86" focus="100%" focussize="0f,0f" rotate="t">
                <o:fill type="gradientUnscaled" v:ext="backwardCompatible"/>
              </v:fill>
              <v:stroke weight="0.5pt" color="#70AD47" joinstyle="miter"/>
              <v:imagedata o:title=""/>
              <o:lock v:ext="edit"/>
              <v:shadow on="t" color="#BFBFBF" offset="2.82842519685039pt,2.82842519685039pt"/>
              <v:textbox>
                <w:txbxContent>
                  <w:p>
                    <w:pPr>
                      <w:snapToGrid w:val="0"/>
                      <w:jc w:val="left"/>
                      <w:rPr>
                        <w:rFonts w:eastAsia="微软雅黑 Light"/>
                      </w:rPr>
                    </w:pPr>
                    <w:r>
                      <w:rPr>
                        <w:rFonts w:ascii="Times New Roman" w:hAnsi="Times New Roman" w:eastAsia="微软雅黑 Light"/>
                        <w:sz w:val="20"/>
                        <w:szCs w:val="20"/>
                      </w:rPr>
                      <w:t>对E&amp;S 文件的审查</w:t>
                    </w:r>
                  </w:p>
                </w:txbxContent>
              </v:textbox>
            </v:shape>
            <v:shape id="标注: 线形 47" o:spid="_x0000_s2107" o:spt="47" type="#_x0000_t47" style="position:absolute;left:24756;top:27707;height:5104;width:15807;v-text-anchor:middle;" fillcolor="#B5D5A7" filled="t" stroked="t" coordsize="21600,21600" adj="-3511,3699,-613,3634">
              <v:path arrowok="t"/>
              <v:fill type="gradient" on="t" color2="#9CCA86" colors="0f #B5D5A7;32768f #AACE99;65536f #9CCA86" focus="100%" focussize="0f,0f" rotate="t">
                <o:fill type="gradientUnscaled" v:ext="backwardCompatible"/>
              </v:fill>
              <v:stroke weight="0.5pt" color="#70AD47" joinstyle="miter"/>
              <v:imagedata o:title=""/>
              <o:lock v:ext="edit"/>
              <v:shadow on="t" color="#BFBFBF" offset="2.82842519685039pt,2.82842519685039pt"/>
              <v:textbox>
                <w:txbxContent>
                  <w:p>
                    <w:pPr>
                      <w:pStyle w:val="64"/>
                      <w:numPr>
                        <w:ilvl w:val="0"/>
                        <w:numId w:val="4"/>
                      </w:numPr>
                      <w:snapToGrid w:val="0"/>
                      <w:ind w:firstLineChars="0"/>
                      <w:jc w:val="left"/>
                      <w:rPr>
                        <w:rFonts w:ascii="Times New Roman" w:hAnsi="Times New Roman" w:eastAsia="微软雅黑 Light"/>
                        <w:sz w:val="20"/>
                        <w:szCs w:val="20"/>
                      </w:rPr>
                    </w:pPr>
                    <w:r>
                      <w:rPr>
                        <w:rFonts w:ascii="Times New Roman" w:hAnsi="Times New Roman" w:eastAsia="微软雅黑 Light"/>
                        <w:sz w:val="20"/>
                        <w:szCs w:val="20"/>
                      </w:rPr>
                      <w:t>E&amp;S绩效监测和报告</w:t>
                    </w:r>
                  </w:p>
                </w:txbxContent>
              </v:textbox>
            </v:shape>
            <v:shape id="标注: 线形 50" o:spid="_x0000_s2108" o:spt="47" type="#_x0000_t47" style="position:absolute;left:24423;top:36739;height:3500;width:15808;v-text-anchor:middle;" fillcolor="#B5D5A7" filled="t" stroked="t" coordsize="21600,21600" adj="-3511,3699,-613,3634">
              <v:path arrowok="t"/>
              <v:fill type="gradient" on="t" color2="#9CCA86" colors="0f #B5D5A7;32768f #AACE99;65536f #9CCA86" focus="100%" focussize="0f,0f" rotate="t">
                <o:fill type="gradientUnscaled" v:ext="backwardCompatible"/>
              </v:fill>
              <v:stroke weight="0.5pt" color="#70AD47" joinstyle="miter"/>
              <v:imagedata o:title=""/>
              <o:lock v:ext="edit"/>
              <v:shadow on="t" color="#BFBFBF" offset="2.82842519685039pt,2.82842519685039pt"/>
              <v:textbox>
                <w:txbxContent>
                  <w:p>
                    <w:pPr>
                      <w:snapToGrid w:val="0"/>
                      <w:ind w:left="284" w:hanging="284" w:hangingChars="142"/>
                      <w:rPr>
                        <w:rFonts w:ascii="Times New Roman" w:hAnsi="Times New Roman" w:eastAsia="微软雅黑 Light"/>
                        <w:sz w:val="20"/>
                        <w:szCs w:val="20"/>
                      </w:rPr>
                    </w:pPr>
                    <w:r>
                      <w:rPr>
                        <w:rFonts w:ascii="Times New Roman" w:hAnsi="Times New Roman" w:eastAsia="微软雅黑 Light"/>
                        <w:sz w:val="20"/>
                        <w:szCs w:val="20"/>
                      </w:rPr>
                      <w:t>-  环境社会绩效评估</w:t>
                    </w:r>
                  </w:p>
                </w:txbxContent>
              </v:textbox>
            </v:shape>
            <v:shape id="右大括号 59" o:spid="_x0000_s2109" o:spt="88" type="#_x0000_t88" style="position:absolute;left:41225;top:4842;height:34072;width:3168;v-text-anchor:middle;" filled="f" stroked="t" coordsize="21600,21600" adj="166,10559">
              <v:path arrowok="t"/>
              <v:fill on="f" focussize="0,0"/>
              <v:stroke weight="0.5pt" color="#4472C4" joinstyle="miter"/>
              <v:imagedata o:title=""/>
              <o:lock v:ext="edit"/>
            </v:shape>
            <v:group id="组合 61" o:spid="_x0000_s2110" o:spt="203" style="position:absolute;left:-413;top:0;height:40043;width:50760;" coordorigin="-505,0" coordsize="52336,41701">
              <o:lock v:ext="edit"/>
              <v:shape id="文本框 39" o:spid="_x0000_s2111" o:spt="202" type="#_x0000_t202" style="position:absolute;left:-505;top:0;height:3197;width:24840;" filled="f" stroked="f" coordsize="21600,21600">
                <v:path/>
                <v:fill on="f" focussize="0,0"/>
                <v:stroke on="f" joinstyle="miter"/>
                <v:imagedata o:title=""/>
                <o:lock v:ext="edit"/>
                <v:textbox>
                  <w:txbxContent>
                    <w:p>
                      <w:pPr>
                        <w:jc w:val="center"/>
                        <w:rPr>
                          <w:rFonts w:ascii="Times New Roman" w:hAnsi="Times New Roman"/>
                          <w:b/>
                          <w:bCs/>
                          <w:sz w:val="20"/>
                          <w:szCs w:val="20"/>
                        </w:rPr>
                      </w:pPr>
                      <w:r>
                        <w:rPr>
                          <w:rFonts w:ascii="Times New Roman" w:hAnsi="Times New Roman"/>
                          <w:b/>
                          <w:bCs/>
                          <w:sz w:val="20"/>
                          <w:szCs w:val="20"/>
                        </w:rPr>
                        <w:t>子项目实施环节</w:t>
                      </w:r>
                    </w:p>
                  </w:txbxContent>
                </v:textbox>
              </v:shape>
              <v:shape id="文本框 40" o:spid="_x0000_s2112" o:spt="202" type="#_x0000_t202" style="position:absolute;left:21784;top:0;height:3753;width:20641;" filled="f" stroked="f" coordsize="21600,21600">
                <v:path/>
                <v:fill on="f" focussize="0,0"/>
                <v:stroke on="f" joinstyle="miter"/>
                <v:imagedata o:title=""/>
                <o:lock v:ext="edit"/>
                <v:textbox>
                  <w:txbxContent>
                    <w:p>
                      <w:pPr>
                        <w:jc w:val="center"/>
                        <w:rPr>
                          <w:rFonts w:ascii="Times New Roman" w:hAnsi="Times New Roman"/>
                          <w:b/>
                          <w:bCs/>
                          <w:sz w:val="20"/>
                          <w:szCs w:val="20"/>
                        </w:rPr>
                      </w:pPr>
                      <w:r>
                        <w:rPr>
                          <w:rFonts w:ascii="Times New Roman" w:hAnsi="Times New Roman"/>
                          <w:b/>
                          <w:bCs/>
                          <w:sz w:val="20"/>
                          <w:szCs w:val="20"/>
                        </w:rPr>
                        <w:t>环境社会风险管理活动</w:t>
                      </w:r>
                    </w:p>
                  </w:txbxContent>
                </v:textbox>
              </v:shape>
              <v:group id="组合 64" o:spid="_x0000_s2113" o:spt="203" style="position:absolute;left:3408;top:3740;height:37961;width:48423;" coordorigin="-55,0" coordsize="48422,37960">
                <o:lock v:ext="edit"/>
                <v:shape id="直接箭头连接符 11" o:spid="_x0000_s2114" o:spt="32" type="#_x0000_t32" style="position:absolute;left:8955;top:28054;height:6487;width:19;" filled="f" stroked="t" coordsize="21600,21600">
                  <v:path arrowok="t"/>
                  <v:fill on="f" focussize="0,0"/>
                  <v:stroke weight="0.5pt" color="#4472C4" joinstyle="miter" endarrow="block"/>
                  <v:imagedata o:title=""/>
                  <o:lock v:ext="edit"/>
                </v:shape>
                <v:shape id="直接箭头连接符 12" o:spid="_x0000_s2115" o:spt="32" type="#_x0000_t32" style="position:absolute;left:8888;top:11412;height:5646;width:0;" filled="f" stroked="t" coordsize="21600,21600">
                  <v:path arrowok="t"/>
                  <v:fill on="f" focussize="0,0"/>
                  <v:stroke weight="0.5pt" color="#4472C4" joinstyle="miter" endarrow="block"/>
                  <v:imagedata o:title=""/>
                  <o:lock v:ext="edit"/>
                </v:shape>
                <v:shape id="直接箭头连接符 13" o:spid="_x0000_s2116" o:spt="32" type="#_x0000_t32" style="position:absolute;left:8890;top:3048;height:5380;width:84;" filled="f" stroked="t" coordsize="21600,21600">
                  <v:path arrowok="t"/>
                  <v:fill on="f" focussize="0,0"/>
                  <v:stroke weight="0.5pt" color="#4472C4" joinstyle="miter" endarrow="block"/>
                  <v:imagedata o:title=""/>
                  <o:lock v:ext="edit"/>
                </v:shape>
                <v:shape id="文本框 45" o:spid="_x0000_s2117" o:spt="202" type="#_x0000_t202" style="position:absolute;left:-55;top:8428;height:2985;width:17678;v-text-anchor:middle;" fillcolor="#B1CBE9" filled="t" stroked="t" coordsize="21600,21600">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子项目准备</w:t>
                        </w:r>
                      </w:p>
                    </w:txbxContent>
                  </v:textbox>
                </v:shape>
                <v:shape id="文本框 69" o:spid="_x0000_s2118" o:spt="202" type="#_x0000_t202" style="position:absolute;left:211;top:16990;height:2924;width:17412;" fillcolor="#B1CBE9" filled="t" stroked="t" coordsize="21600,21600">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子项目评估和批准</w:t>
                        </w:r>
                      </w:p>
                    </w:txbxContent>
                  </v:textbox>
                </v:shape>
                <v:roundrect id="矩形: 圆角 208" o:spid="_x0000_s2119" o:spt="2" style="position:absolute;left:169;top:0;height:3048;width:17488;v-text-anchor:middle;" fillcolor="#B1CBE9" filled="t" stroked="t" coordsize="21600,21600" arcsize="0.166666666666667">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子项目筛选与分类</w:t>
                        </w:r>
                      </w:p>
                    </w:txbxContent>
                  </v:textbox>
                </v:roundrect>
                <v:shape id="直接箭头连接符 20" o:spid="_x0000_s2120" o:spt="32" type="#_x0000_t32" style="position:absolute;left:8890;top:19913;flip:x;height:5063;width:25;" filled="f" stroked="t" coordsize="21600,21600">
                  <v:path arrowok="t"/>
                  <v:fill on="f" focussize="0,0"/>
                  <v:stroke weight="0.5pt" color="#4472C4" joinstyle="miter" endarrow="block"/>
                  <v:imagedata o:title=""/>
                  <o:lock v:ext="edit"/>
                </v:shape>
                <v:shape id="文本框 72" o:spid="_x0000_s2121" o:spt="202" type="#_x0000_t202" style="position:absolute;left:249;top:25031;height:3023;width:17412;" fillcolor="#B1CBE9" filled="t" stroked="t" coordsize="21600,21600">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项目实施和监督</w:t>
                        </w:r>
                      </w:p>
                    </w:txbxContent>
                  </v:textbox>
                </v:shape>
                <v:shape id="文本框 73" o:spid="_x0000_s2122" o:spt="202" type="#_x0000_t202" style="position:absolute;left:249;top:34655;height:3305;width:17412;" fillcolor="#B1CBE9" filled="t" stroked="t" coordsize="21600,21600">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项目完工及评价</w:t>
                        </w:r>
                      </w:p>
                    </w:txbxContent>
                  </v:textbox>
                </v:shape>
                <v:roundrect id="矩形: 圆角 208" o:spid="_x0000_s2123" o:spt="2" style="position:absolute;left:43140;top:12940;height:10956;width:5227;v-text-anchor:middle;" fillcolor="#B1CBE9" filled="t" stroked="t" coordsize="21600,21600" arcsize="0.166666666666667">
                  <v:path/>
                  <v:fill type="gradient" on="t" color2="#92B9E4" colors="0f #B1CBE9;32768f #A3C1E5;65536f #92B9E4" focus="100%" focussize="0f,0f" rotate="t">
                    <o:fill type="gradientUnscaled" v:ext="backwardCompatible"/>
                  </v:fill>
                  <v:stroke weight="0.5pt" color="#5B9BD5" joinstyle="miter"/>
                  <v:imagedata o:title=""/>
                  <o:lock v:ext="edit"/>
                  <v:textbox>
                    <w:txbxContent>
                      <w:p>
                        <w:pPr>
                          <w:snapToGrid w:val="0"/>
                          <w:spacing w:line="160" w:lineRule="atLeast"/>
                          <w:jc w:val="center"/>
                          <w:rPr>
                            <w:rFonts w:ascii="Times New Roman" w:hAnsi="Times New Roman" w:eastAsia="微软雅黑 Light"/>
                            <w:sz w:val="20"/>
                            <w:szCs w:val="20"/>
                          </w:rPr>
                        </w:pPr>
                        <w:r>
                          <w:rPr>
                            <w:rFonts w:ascii="Times New Roman" w:hAnsi="Times New Roman" w:eastAsia="微软雅黑 Light"/>
                            <w:sz w:val="20"/>
                            <w:szCs w:val="20"/>
                          </w:rPr>
                          <w:t>利益相关者磋商</w:t>
                        </w:r>
                      </w:p>
                    </w:txbxContent>
                  </v:textbox>
                </v:roundrect>
              </v:group>
            </v:group>
            <w10:wrap type="none"/>
            <w10:anchorlock/>
          </v:group>
        </w:pict>
      </w:r>
    </w:p>
    <w:p>
      <w:pPr>
        <w:snapToGrid w:val="0"/>
        <w:spacing w:line="520" w:lineRule="exact"/>
        <w:jc w:val="center"/>
        <w:rPr>
          <w:rFonts w:ascii="Times New Roman" w:hAnsi="Times New Roman" w:eastAsia="微软雅黑 Light"/>
          <w:b/>
          <w:sz w:val="24"/>
          <w:szCs w:val="24"/>
          <w:highlight w:val="none"/>
        </w:rPr>
      </w:pPr>
      <w:r>
        <w:rPr>
          <w:rFonts w:ascii="Times New Roman" w:hAnsi="Times New Roman" w:eastAsia="微软雅黑 Light"/>
          <w:b/>
          <w:bCs/>
          <w:sz w:val="24"/>
          <w:szCs w:val="24"/>
          <w:highlight w:val="none"/>
        </w:rPr>
        <w:t>图</w:t>
      </w:r>
      <w:r>
        <w:rPr>
          <w:rFonts w:ascii="Times New Roman" w:hAnsi="Times New Roman" w:eastAsia="微软雅黑 Light"/>
          <w:b/>
          <w:bCs/>
          <w:sz w:val="24"/>
          <w:szCs w:val="24"/>
          <w:highlight w:val="none"/>
        </w:rPr>
        <w:fldChar w:fldCharType="begin"/>
      </w:r>
      <w:r>
        <w:rPr>
          <w:rFonts w:ascii="Times New Roman" w:hAnsi="Times New Roman" w:eastAsia="微软雅黑 Light"/>
          <w:b/>
          <w:bCs/>
          <w:sz w:val="24"/>
          <w:szCs w:val="24"/>
          <w:highlight w:val="none"/>
        </w:rPr>
        <w:instrText xml:space="preserve"> STYLEREF 1 \s </w:instrText>
      </w:r>
      <w:r>
        <w:rPr>
          <w:rFonts w:ascii="Times New Roman" w:hAnsi="Times New Roman" w:eastAsia="微软雅黑 Light"/>
          <w:b/>
          <w:bCs/>
          <w:sz w:val="24"/>
          <w:szCs w:val="24"/>
          <w:highlight w:val="none"/>
        </w:rPr>
        <w:fldChar w:fldCharType="separate"/>
      </w:r>
      <w:r>
        <w:rPr>
          <w:rFonts w:ascii="Times New Roman" w:hAnsi="Times New Roman" w:eastAsia="微软雅黑 Light"/>
          <w:b/>
          <w:bCs/>
          <w:sz w:val="24"/>
          <w:szCs w:val="24"/>
          <w:highlight w:val="none"/>
        </w:rPr>
        <w:t>5</w:t>
      </w:r>
      <w:r>
        <w:rPr>
          <w:rFonts w:ascii="Times New Roman" w:hAnsi="Times New Roman" w:eastAsia="微软雅黑 Light"/>
          <w:b/>
          <w:bCs/>
          <w:sz w:val="24"/>
          <w:szCs w:val="24"/>
          <w:highlight w:val="none"/>
        </w:rPr>
        <w:fldChar w:fldCharType="end"/>
      </w:r>
      <w:r>
        <w:rPr>
          <w:rFonts w:ascii="Times New Roman" w:hAnsi="Times New Roman" w:eastAsia="微软雅黑 Light"/>
          <w:b/>
          <w:bCs/>
          <w:sz w:val="24"/>
          <w:szCs w:val="24"/>
          <w:highlight w:val="none"/>
        </w:rPr>
        <w:t>-</w:t>
      </w:r>
      <w:r>
        <w:rPr>
          <w:rFonts w:ascii="Times New Roman" w:hAnsi="Times New Roman" w:eastAsia="微软雅黑 Light"/>
          <w:b/>
          <w:bCs/>
          <w:sz w:val="24"/>
          <w:szCs w:val="24"/>
          <w:highlight w:val="none"/>
        </w:rPr>
        <w:fldChar w:fldCharType="begin"/>
      </w:r>
      <w:r>
        <w:rPr>
          <w:rFonts w:ascii="Times New Roman" w:hAnsi="Times New Roman" w:eastAsia="微软雅黑 Light"/>
          <w:b/>
          <w:bCs/>
          <w:sz w:val="24"/>
          <w:szCs w:val="24"/>
          <w:highlight w:val="none"/>
        </w:rPr>
        <w:instrText xml:space="preserve"> SEQ 图 \* ARABIC \s 1 </w:instrText>
      </w:r>
      <w:r>
        <w:rPr>
          <w:rFonts w:ascii="Times New Roman" w:hAnsi="Times New Roman" w:eastAsia="微软雅黑 Light"/>
          <w:b/>
          <w:bCs/>
          <w:sz w:val="24"/>
          <w:szCs w:val="24"/>
          <w:highlight w:val="none"/>
        </w:rPr>
        <w:fldChar w:fldCharType="separate"/>
      </w:r>
      <w:r>
        <w:rPr>
          <w:rFonts w:ascii="Times New Roman" w:hAnsi="Times New Roman" w:eastAsia="微软雅黑 Light"/>
          <w:b/>
          <w:bCs/>
          <w:sz w:val="24"/>
          <w:szCs w:val="24"/>
          <w:highlight w:val="none"/>
        </w:rPr>
        <w:t>1</w:t>
      </w:r>
      <w:r>
        <w:rPr>
          <w:rFonts w:ascii="Times New Roman" w:hAnsi="Times New Roman" w:eastAsia="微软雅黑 Light"/>
          <w:b/>
          <w:bCs/>
          <w:sz w:val="24"/>
          <w:szCs w:val="24"/>
          <w:highlight w:val="none"/>
        </w:rPr>
        <w:fldChar w:fldCharType="end"/>
      </w:r>
      <w:bookmarkStart w:id="69" w:name="_Toc4367"/>
      <w:r>
        <w:rPr>
          <w:rFonts w:ascii="Times New Roman" w:hAnsi="Times New Roman" w:eastAsia="微软雅黑 Light"/>
          <w:b/>
          <w:bCs/>
          <w:sz w:val="24"/>
          <w:szCs w:val="24"/>
          <w:highlight w:val="none"/>
        </w:rPr>
        <w:t xml:space="preserve"> </w:t>
      </w:r>
      <w:r>
        <w:rPr>
          <w:rFonts w:ascii="Times New Roman" w:hAnsi="Times New Roman" w:eastAsia="微软雅黑 Light"/>
          <w:b/>
          <w:sz w:val="24"/>
          <w:szCs w:val="24"/>
          <w:highlight w:val="none"/>
        </w:rPr>
        <w:t>子项目环境和社会管理程序</w:t>
      </w:r>
      <w:bookmarkEnd w:id="69"/>
    </w:p>
    <w:p>
      <w:pPr>
        <w:pStyle w:val="4"/>
        <w:numPr>
          <w:ilvl w:val="1"/>
          <w:numId w:val="2"/>
        </w:numPr>
        <w:adjustRightInd w:val="0"/>
        <w:snapToGrid w:val="0"/>
        <w:spacing w:before="0" w:after="0" w:line="360" w:lineRule="auto"/>
        <w:ind w:left="0" w:firstLine="0"/>
        <w:rPr>
          <w:rFonts w:ascii="Times New Roman" w:hAnsi="Times New Roman" w:eastAsia="楷体_GB2312"/>
          <w:bCs w:val="0"/>
          <w:highlight w:val="none"/>
        </w:rPr>
      </w:pPr>
      <w:bookmarkStart w:id="70" w:name="_Toc2138570588"/>
      <w:r>
        <w:rPr>
          <w:rFonts w:ascii="Times New Roman" w:hAnsi="Times New Roman" w:eastAsia="楷体_GB2312"/>
          <w:bCs w:val="0"/>
          <w:highlight w:val="none"/>
        </w:rPr>
        <w:t xml:space="preserve"> 子项目环境与社会</w:t>
      </w:r>
      <w:r>
        <w:rPr>
          <w:rFonts w:hint="eastAsia" w:ascii="Times New Roman" w:hAnsi="Times New Roman" w:eastAsia="楷体_GB2312"/>
          <w:bCs w:val="0"/>
          <w:highlight w:val="none"/>
        </w:rPr>
        <w:t>风险</w:t>
      </w:r>
      <w:r>
        <w:rPr>
          <w:rFonts w:ascii="Times New Roman" w:hAnsi="Times New Roman" w:eastAsia="楷体_GB2312"/>
          <w:bCs w:val="0"/>
          <w:highlight w:val="none"/>
        </w:rPr>
        <w:t>筛</w:t>
      </w:r>
      <w:r>
        <w:rPr>
          <w:rFonts w:hint="eastAsia" w:ascii="Times New Roman" w:hAnsi="Times New Roman" w:eastAsia="楷体_GB2312"/>
          <w:bCs w:val="0"/>
          <w:highlight w:val="none"/>
        </w:rPr>
        <w:t>查</w:t>
      </w:r>
      <w:bookmarkEnd w:id="70"/>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环境社会风险</w:t>
      </w:r>
      <w:r>
        <w:rPr>
          <w:rFonts w:hint="eastAsia" w:ascii="Times New Roman" w:hAnsi="Times New Roman" w:eastAsia="仿宋_GB2312"/>
          <w:sz w:val="32"/>
          <w:szCs w:val="32"/>
          <w:highlight w:val="none"/>
        </w:rPr>
        <w:t>筛查</w:t>
      </w:r>
      <w:r>
        <w:rPr>
          <w:rFonts w:ascii="Times New Roman" w:hAnsi="Times New Roman" w:eastAsia="仿宋_GB2312"/>
          <w:sz w:val="32"/>
          <w:szCs w:val="32"/>
          <w:highlight w:val="none"/>
        </w:rPr>
        <w:t>旨在识别</w:t>
      </w:r>
      <w:r>
        <w:rPr>
          <w:rFonts w:hint="eastAsia" w:ascii="Times New Roman" w:hAnsi="Times New Roman" w:eastAsia="仿宋_GB2312"/>
          <w:sz w:val="32"/>
          <w:szCs w:val="32"/>
          <w:highlight w:val="none"/>
        </w:rPr>
        <w:t>候选</w:t>
      </w:r>
      <w:r>
        <w:rPr>
          <w:rFonts w:ascii="Times New Roman" w:hAnsi="Times New Roman" w:eastAsia="仿宋_GB2312"/>
          <w:sz w:val="32"/>
          <w:szCs w:val="32"/>
          <w:highlight w:val="none"/>
        </w:rPr>
        <w:t>子项及其“关联设施</w:t>
      </w:r>
      <w:r>
        <w:rPr>
          <w:rFonts w:ascii="Times New Roman" w:hAnsi="Times New Roman" w:eastAsia="仿宋_GB2312"/>
          <w:sz w:val="32"/>
          <w:szCs w:val="32"/>
          <w:highlight w:val="none"/>
          <w:vertAlign w:val="superscript"/>
        </w:rPr>
        <w:footnoteReference w:id="0"/>
      </w:r>
      <w:r>
        <w:rPr>
          <w:rFonts w:ascii="Times New Roman" w:hAnsi="Times New Roman" w:eastAsia="仿宋_GB2312"/>
          <w:sz w:val="32"/>
          <w:szCs w:val="32"/>
          <w:highlight w:val="none"/>
        </w:rPr>
        <w:t>”（如存在）的潜在环境社会风险，在项目活动筛选过程中，通过填写</w:t>
      </w:r>
      <w:r>
        <w:rPr>
          <w:rFonts w:ascii="Times New Roman" w:hAnsi="Times New Roman" w:eastAsia="仿宋_GB2312"/>
          <w:b/>
          <w:bCs/>
          <w:iCs/>
          <w:sz w:val="32"/>
          <w:szCs w:val="32"/>
          <w:highlight w:val="none"/>
        </w:rPr>
        <w:t>附件1</w:t>
      </w:r>
      <w:r>
        <w:rPr>
          <w:rFonts w:ascii="Times New Roman" w:hAnsi="Times New Roman" w:eastAsia="仿宋_GB2312"/>
          <w:sz w:val="32"/>
          <w:szCs w:val="32"/>
          <w:highlight w:val="none"/>
        </w:rPr>
        <w:t>的“环境社会风险筛选表”，排除高环境社会风险的投资内容，并对纳入资金支持范围的项目活动进行环境社会风险初步识别，实施风险分级管理。</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具体步骤和要求如下：</w:t>
      </w:r>
    </w:p>
    <w:p>
      <w:pPr>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第一步：环境社会风险排除清单</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pict>
          <v:shape id="文本框 2" o:spid="_x0000_s2058" o:spt="202" type="#_x0000_t202" style="position:absolute;left:0pt;margin-left:3.4pt;margin-top:159.65pt;height:219.2pt;width:413.4pt;mso-wrap-distance-bottom:0pt;mso-wrap-distance-left:9pt;mso-wrap-distance-right:9pt;mso-wrap-distance-top:0pt;z-index:251664384;mso-width-relative:page;mso-height-relative:page;" fillcolor="#F8F9FD" filled="t" coordsize="21600,21600" o:gfxdata="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qHBZnXAAAACQEAAA8AAAAAAAAAAQAgAAAAOAAAAGRycy9kb3ducmV2LnhtbFBLAQIU&#10;ABQAAAAIAIdO4kAhmOTJFwIAADkEAAAOAAAAAAAAAAEAIAAAADwBAABkcnMvZTJvRG9jLnhtbFBL&#10;BQYAAAAABgAGAFkBAADFBQAAAAA=&#10;">
            <v:path/>
            <v:fill on="t" focussize="0,0"/>
            <v:stroke joinstyle="miter"/>
            <v:imagedata o:title=""/>
            <o:lock v:ext="edit" aspectratio="t"/>
            <v:textbox style="mso-fit-shape-to-text:t;">
              <w:txbxContent>
                <w:p>
                  <w:pPr>
                    <w:spacing w:after="0" w:line="120" w:lineRule="atLeast"/>
                    <w:rPr>
                      <w:rFonts w:ascii="仿宋_GB2312" w:hAnsi="仿宋" w:eastAsia="仿宋_GB2312"/>
                      <w:b/>
                      <w:bCs/>
                      <w:sz w:val="24"/>
                      <w:szCs w:val="24"/>
                    </w:rPr>
                  </w:pPr>
                  <w:r>
                    <w:rPr>
                      <w:rFonts w:hint="eastAsia" w:ascii="仿宋_GB2312" w:hAnsi="仿宋" w:eastAsia="仿宋_GB2312"/>
                      <w:b/>
                      <w:bCs/>
                      <w:sz w:val="24"/>
                      <w:szCs w:val="24"/>
                    </w:rPr>
                    <w:t>项目活动环境社会风险排除清单</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项目活动可能对重要自然栖息地和生物多样性造成重大负面影响的；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建设项目活动可能对不可复制的物质文化资源造成破坏或负面影响的；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土地利用性质改变的；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建设项目选址距离居住区不满足环境保护相关防护距离要求的；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涉及较大的征地移民影响的；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涉及占用基本农田，没有取得自然资源管理部门批准的；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项目单位受到环保部门处罚，且没有在规定时限内采取措施纠正问题的；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项目单位涉及任何形式的强制劳动或雇佣童工的（16岁以下）；</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不符合中国和青岛行业发展规划的；</w:t>
                  </w:r>
                </w:p>
                <w:p>
                  <w:pPr>
                    <w:pStyle w:val="64"/>
                    <w:numPr>
                      <w:ilvl w:val="0"/>
                      <w:numId w:val="5"/>
                    </w:numPr>
                    <w:spacing w:after="0" w:line="120" w:lineRule="atLeast"/>
                    <w:ind w:firstLineChars="0"/>
                    <w:rPr>
                      <w:rFonts w:ascii="仿宋_GB2312" w:hAnsi="仿宋" w:eastAsia="仿宋_GB2312"/>
                      <w:sz w:val="24"/>
                      <w:szCs w:val="24"/>
                    </w:rPr>
                  </w:pPr>
                  <w:r>
                    <w:rPr>
                      <w:rFonts w:hint="eastAsia" w:ascii="仿宋_GB2312" w:hAnsi="仿宋" w:eastAsia="仿宋_GB2312"/>
                      <w:sz w:val="24"/>
                      <w:szCs w:val="24"/>
                    </w:rPr>
                    <w:t>不符合世行贷款项目发展目标的；</w:t>
                  </w:r>
                </w:p>
                <w:p>
                  <w:pPr>
                    <w:pStyle w:val="64"/>
                    <w:numPr>
                      <w:ilvl w:val="0"/>
                      <w:numId w:val="5"/>
                    </w:numPr>
                    <w:spacing w:after="0" w:line="120" w:lineRule="atLeast"/>
                    <w:ind w:firstLineChars="0"/>
                    <w:rPr>
                      <w:rFonts w:ascii="仿宋_GB2312" w:eastAsia="仿宋_GB2312"/>
                      <w:sz w:val="24"/>
                      <w:szCs w:val="24"/>
                    </w:rPr>
                  </w:pPr>
                  <w:r>
                    <w:rPr>
                      <w:rFonts w:hint="eastAsia" w:ascii="仿宋_GB2312" w:hAnsi="仿宋" w:eastAsia="仿宋_GB2312"/>
                      <w:sz w:val="24"/>
                      <w:szCs w:val="24"/>
                    </w:rPr>
                    <w:t>IFC排除清单中所列举的活动（</w:t>
                  </w:r>
                  <w:r>
                    <w:fldChar w:fldCharType="begin"/>
                  </w:r>
                  <w:r>
                    <w:instrText xml:space="preserve"> HYPERLINK "http://www.ifc.org/exclusionlist" </w:instrText>
                  </w:r>
                  <w:r>
                    <w:fldChar w:fldCharType="separate"/>
                  </w:r>
                  <w:r>
                    <w:rPr>
                      <w:rStyle w:val="36"/>
                      <w:rFonts w:hint="eastAsia" w:ascii="仿宋_GB2312" w:hAnsi="Arial" w:eastAsia="仿宋_GB2312" w:cs="Arial"/>
                      <w:color w:val="000000"/>
                      <w:sz w:val="24"/>
                      <w:szCs w:val="24"/>
                      <w:shd w:val="clear" w:color="auto" w:fill="FFFFFF"/>
                    </w:rPr>
                    <w:t>http://www.ifc.org/exclusionlist</w:t>
                  </w:r>
                  <w:r>
                    <w:rPr>
                      <w:rStyle w:val="36"/>
                      <w:rFonts w:hint="eastAsia" w:ascii="仿宋_GB2312" w:hAnsi="Arial" w:eastAsia="仿宋_GB2312" w:cs="Arial"/>
                      <w:color w:val="000000"/>
                      <w:sz w:val="24"/>
                      <w:szCs w:val="24"/>
                      <w:shd w:val="clear" w:color="auto" w:fill="FFFFFF"/>
                    </w:rPr>
                    <w:fldChar w:fldCharType="end"/>
                  </w:r>
                  <w:r>
                    <w:rPr>
                      <w:rFonts w:hint="eastAsia" w:ascii="仿宋_GB2312" w:hAnsi="仿宋" w:eastAsia="仿宋_GB2312"/>
                      <w:sz w:val="24"/>
                      <w:szCs w:val="24"/>
                    </w:rPr>
                    <w:t>）。</w:t>
                  </w:r>
                </w:p>
              </w:txbxContent>
            </v:textbox>
            <w10:wrap type="square"/>
          </v:shape>
        </w:pict>
      </w:r>
      <w:r>
        <w:rPr>
          <w:rFonts w:ascii="Times New Roman" w:hAnsi="Times New Roman" w:eastAsia="仿宋_GB2312"/>
          <w:sz w:val="32"/>
          <w:szCs w:val="32"/>
          <w:highlight w:val="none"/>
        </w:rPr>
        <w:t>世界银行“预防、准备和应对新发传染病项目”</w:t>
      </w:r>
      <w:r>
        <w:rPr>
          <w:rFonts w:hint="eastAsia" w:ascii="Times New Roman" w:hAnsi="Times New Roman" w:eastAsia="仿宋_GB2312"/>
          <w:sz w:val="32"/>
          <w:szCs w:val="32"/>
          <w:highlight w:val="none"/>
        </w:rPr>
        <w:t>针对整体项目</w:t>
      </w:r>
      <w:r>
        <w:rPr>
          <w:rFonts w:ascii="Times New Roman" w:hAnsi="Times New Roman" w:eastAsia="仿宋_GB2312"/>
          <w:sz w:val="32"/>
          <w:szCs w:val="32"/>
          <w:highlight w:val="none"/>
        </w:rPr>
        <w:t>的</w:t>
      </w:r>
      <w:r>
        <w:rPr>
          <w:rFonts w:hint="eastAsia" w:ascii="Times New Roman" w:hAnsi="Times New Roman" w:eastAsia="仿宋_GB2312"/>
          <w:sz w:val="32"/>
          <w:szCs w:val="32"/>
          <w:highlight w:val="none"/>
        </w:rPr>
        <w:t>环境社会风险管理，已制定了</w:t>
      </w:r>
      <w:r>
        <w:rPr>
          <w:rFonts w:ascii="Times New Roman" w:hAnsi="Times New Roman" w:eastAsia="仿宋_GB2312"/>
          <w:sz w:val="32"/>
          <w:szCs w:val="32"/>
          <w:highlight w:val="none"/>
        </w:rPr>
        <w:t>环境社会风险排除清单</w:t>
      </w:r>
      <w:r>
        <w:rPr>
          <w:rFonts w:hint="eastAsia" w:ascii="Times New Roman" w:hAnsi="Times New Roman" w:eastAsia="仿宋_GB2312"/>
          <w:sz w:val="32"/>
          <w:szCs w:val="32"/>
          <w:highlight w:val="none"/>
        </w:rPr>
        <w:t>（参见以下框图），该排除清单将同样应用于农业农村部子项</w:t>
      </w:r>
      <w:r>
        <w:rPr>
          <w:rFonts w:ascii="Times New Roman" w:hAnsi="Times New Roman" w:eastAsia="仿宋_GB2312"/>
          <w:sz w:val="32"/>
          <w:szCs w:val="32"/>
          <w:highlight w:val="none"/>
        </w:rPr>
        <w:t>。在确定本项目所支持的具体子项目的过程中，项目办首先需要照此清单（详见下文框图及附件1的第I部分）对所有备选子项进行筛选，排除属于清单范畴内的活动，以排除对环境社会可能产生重大影响和风险的子项目。</w:t>
      </w:r>
    </w:p>
    <w:p>
      <w:pPr>
        <w:snapToGrid w:val="0"/>
        <w:spacing w:line="360" w:lineRule="auto"/>
        <w:ind w:firstLine="643" w:firstLineChars="200"/>
        <w:rPr>
          <w:rFonts w:ascii="Times New Roman" w:hAnsi="Times New Roman" w:eastAsia="仿宋_GB2312"/>
          <w:b/>
          <w:sz w:val="32"/>
          <w:szCs w:val="32"/>
          <w:highlight w:val="none"/>
          <w:u w:val="single"/>
        </w:rPr>
      </w:pPr>
      <w:r>
        <w:rPr>
          <w:rFonts w:ascii="Times New Roman" w:hAnsi="Times New Roman" w:eastAsia="仿宋_GB2312"/>
          <w:b/>
          <w:sz w:val="32"/>
          <w:szCs w:val="32"/>
          <w:highlight w:val="none"/>
          <w:u w:val="single"/>
        </w:rPr>
        <w:t>第二步：针对合格子项的环境社会风险分级</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如前所述，本项目支持的活动分为三类：</w:t>
      </w:r>
      <w:r>
        <w:rPr>
          <w:rFonts w:hint="eastAsia" w:ascii="Times New Roman" w:hAnsi="Times New Roman" w:eastAsia="仿宋_GB2312"/>
          <w:sz w:val="32"/>
          <w:szCs w:val="32"/>
          <w:highlight w:val="none"/>
        </w:rPr>
        <w:t>设备采购、TA</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II</w:t>
      </w:r>
      <w:r>
        <w:rPr>
          <w:rFonts w:ascii="Times New Roman" w:hAnsi="Times New Roman" w:eastAsia="仿宋_GB2312"/>
          <w:sz w:val="32"/>
          <w:szCs w:val="32"/>
          <w:highlight w:val="none"/>
        </w:rPr>
        <w:t xml:space="preserve"> – </w:t>
      </w:r>
      <w:r>
        <w:rPr>
          <w:rFonts w:hint="eastAsia" w:ascii="Times New Roman" w:hAnsi="Times New Roman" w:eastAsia="仿宋_GB2312"/>
          <w:sz w:val="32"/>
          <w:szCs w:val="32"/>
          <w:highlight w:val="none"/>
        </w:rPr>
        <w:t>课题研究</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以及TA</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III</w:t>
      </w:r>
      <w:r>
        <w:rPr>
          <w:rFonts w:ascii="Times New Roman" w:hAnsi="Times New Roman" w:eastAsia="仿宋_GB2312"/>
          <w:sz w:val="32"/>
          <w:szCs w:val="32"/>
          <w:highlight w:val="none"/>
        </w:rPr>
        <w:t>—能力</w:t>
      </w:r>
      <w:r>
        <w:rPr>
          <w:rFonts w:hint="eastAsia" w:ascii="Times New Roman" w:hAnsi="Times New Roman" w:eastAsia="仿宋_GB2312"/>
          <w:sz w:val="32"/>
          <w:szCs w:val="32"/>
          <w:highlight w:val="none"/>
        </w:rPr>
        <w:t>建设</w:t>
      </w:r>
      <w:r>
        <w:rPr>
          <w:rFonts w:ascii="Times New Roman" w:hAnsi="Times New Roman" w:eastAsia="仿宋_GB2312"/>
          <w:sz w:val="32"/>
          <w:szCs w:val="32"/>
          <w:highlight w:val="none"/>
        </w:rPr>
        <w:t>活动。</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在子项目筛选过程中，在排除属于上述环境社会风险排除清单的项目活动后，对列入项目支持范围的子项目将进一步识别其涉及的直接或下游环境社会风险</w:t>
      </w:r>
      <w:r>
        <w:rPr>
          <w:rFonts w:hint="eastAsia" w:ascii="Times New Roman" w:hAnsi="Times New Roman" w:eastAsia="仿宋_GB2312"/>
          <w:sz w:val="32"/>
          <w:szCs w:val="32"/>
          <w:highlight w:val="none"/>
        </w:rPr>
        <w:t>，将</w:t>
      </w:r>
      <w:r>
        <w:rPr>
          <w:rFonts w:ascii="Times New Roman" w:hAnsi="Times New Roman" w:eastAsia="仿宋_GB2312"/>
          <w:sz w:val="32"/>
          <w:szCs w:val="32"/>
          <w:highlight w:val="none"/>
        </w:rPr>
        <w:t>风险分为</w:t>
      </w:r>
      <w:r>
        <w:rPr>
          <w:rFonts w:hint="eastAsia" w:ascii="Times New Roman" w:hAnsi="Times New Roman" w:eastAsia="仿宋_GB2312"/>
          <w:sz w:val="32"/>
          <w:szCs w:val="32"/>
          <w:highlight w:val="none"/>
        </w:rPr>
        <w:t>三</w:t>
      </w:r>
      <w:r>
        <w:rPr>
          <w:rFonts w:ascii="Times New Roman" w:hAnsi="Times New Roman" w:eastAsia="仿宋_GB2312"/>
          <w:sz w:val="32"/>
          <w:szCs w:val="32"/>
          <w:highlight w:val="none"/>
        </w:rPr>
        <w:t>个等级，即“较高”、“中等”和“低”</w:t>
      </w:r>
      <w:r>
        <w:rPr>
          <w:rFonts w:hint="eastAsia" w:ascii="Times New Roman" w:hAnsi="Times New Roman" w:eastAsia="仿宋_GB2312"/>
          <w:sz w:val="32"/>
          <w:szCs w:val="32"/>
          <w:highlight w:val="none"/>
        </w:rPr>
        <w:t>（高风险已排除）</w:t>
      </w:r>
      <w:r>
        <w:rPr>
          <w:rFonts w:ascii="Times New Roman" w:hAnsi="Times New Roman" w:eastAsia="仿宋_GB2312"/>
          <w:sz w:val="32"/>
          <w:szCs w:val="32"/>
          <w:highlight w:val="none"/>
        </w:rPr>
        <w:t>，并参照世界银行的《环境社会框架政策》，根据其项目类型及其所涉及环境社会风险等级进行分类管理，具体要求详见下节。</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在子项目筛选阶段，项目办还需要关注是否存在“关联设施”。世行要求项目的环境和社会管理要求在借款国可以控制和影响的情况下，同样适用于所识别出的“关联设施”。</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项目办在完成初步筛选后，需要将筛选结果报送世界银行</w:t>
      </w:r>
      <w:r>
        <w:rPr>
          <w:rFonts w:hint="eastAsia" w:ascii="Times New Roman" w:hAnsi="Times New Roman" w:eastAsia="仿宋_GB2312"/>
          <w:sz w:val="32"/>
          <w:szCs w:val="32"/>
          <w:highlight w:val="none"/>
        </w:rPr>
        <w:t>审查备案</w:t>
      </w:r>
      <w:r>
        <w:rPr>
          <w:rFonts w:ascii="Times New Roman" w:hAnsi="Times New Roman" w:eastAsia="仿宋_GB2312"/>
          <w:sz w:val="32"/>
          <w:szCs w:val="32"/>
          <w:highlight w:val="none"/>
        </w:rPr>
        <w:t>。</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71" w:name="_Toc308084631"/>
      <w:bookmarkStart w:id="72" w:name="_Toc55111660"/>
      <w:bookmarkStart w:id="73" w:name="_Toc57042926"/>
      <w:r>
        <w:rPr>
          <w:rFonts w:ascii="Times New Roman" w:hAnsi="Times New Roman" w:eastAsia="楷体_GB2312"/>
          <w:bCs w:val="0"/>
          <w:highlight w:val="none"/>
        </w:rPr>
        <w:t xml:space="preserve"> 子项目准备</w:t>
      </w:r>
      <w:bookmarkEnd w:id="71"/>
      <w:bookmarkEnd w:id="72"/>
      <w:bookmarkEnd w:id="73"/>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根据子项目分类及其环境社会风险，项目办需按以下要求</w:t>
      </w:r>
      <w:r>
        <w:rPr>
          <w:rFonts w:hint="eastAsia" w:ascii="Times New Roman" w:hAnsi="Times New Roman" w:eastAsia="仿宋_GB2312"/>
          <w:kern w:val="0"/>
          <w:sz w:val="32"/>
          <w:szCs w:val="32"/>
          <w:highlight w:val="none"/>
        </w:rPr>
        <w:t>开展</w:t>
      </w:r>
      <w:r>
        <w:rPr>
          <w:rFonts w:ascii="Times New Roman" w:hAnsi="Times New Roman" w:eastAsia="仿宋_GB2312"/>
          <w:kern w:val="0"/>
          <w:sz w:val="32"/>
          <w:szCs w:val="32"/>
          <w:highlight w:val="none"/>
        </w:rPr>
        <w:t>环境社会管理</w:t>
      </w:r>
      <w:r>
        <w:rPr>
          <w:rFonts w:hint="eastAsia" w:ascii="Times New Roman" w:hAnsi="Times New Roman" w:eastAsia="仿宋_GB2312"/>
          <w:kern w:val="0"/>
          <w:sz w:val="32"/>
          <w:szCs w:val="32"/>
          <w:highlight w:val="none"/>
        </w:rPr>
        <w:t>工作</w:t>
      </w:r>
      <w:r>
        <w:rPr>
          <w:rFonts w:ascii="Times New Roman" w:hAnsi="Times New Roman" w:eastAsia="仿宋_GB2312"/>
          <w:kern w:val="0"/>
          <w:sz w:val="32"/>
          <w:szCs w:val="32"/>
          <w:highlight w:val="none"/>
        </w:rPr>
        <w:t>：</w:t>
      </w:r>
    </w:p>
    <w:p>
      <w:pPr>
        <w:widowControl/>
        <w:snapToGrid w:val="0"/>
        <w:spacing w:line="360"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设备采购：贯彻绿色采购原则，在采购过程中鼓励购买节能降耗、生态友好型产品或服务。</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针对课题研究类的I</w:t>
      </w:r>
      <w:r>
        <w:rPr>
          <w:rFonts w:hint="eastAsia" w:ascii="Times New Roman" w:hAnsi="Times New Roman" w:eastAsia="仿宋_GB2312"/>
          <w:sz w:val="32"/>
          <w:szCs w:val="32"/>
          <w:highlight w:val="none"/>
        </w:rPr>
        <w:t>I</w:t>
      </w:r>
      <w:r>
        <w:rPr>
          <w:rFonts w:ascii="Times New Roman" w:hAnsi="Times New Roman" w:eastAsia="仿宋_GB2312"/>
          <w:sz w:val="32"/>
          <w:szCs w:val="32"/>
          <w:highlight w:val="none"/>
        </w:rPr>
        <w:t>类</w:t>
      </w:r>
      <w:r>
        <w:rPr>
          <w:rFonts w:hint="eastAsia" w:ascii="Times New Roman" w:hAnsi="Times New Roman" w:eastAsia="仿宋_GB2312"/>
          <w:sz w:val="32"/>
          <w:szCs w:val="32"/>
          <w:highlight w:val="none"/>
        </w:rPr>
        <w:t>技援</w:t>
      </w:r>
      <w:r>
        <w:rPr>
          <w:rFonts w:ascii="Times New Roman" w:hAnsi="Times New Roman" w:eastAsia="仿宋_GB2312"/>
          <w:sz w:val="32"/>
          <w:szCs w:val="32"/>
          <w:highlight w:val="none"/>
        </w:rPr>
        <w:t>子项</w:t>
      </w:r>
      <w:r>
        <w:rPr>
          <w:rFonts w:hint="eastAsia" w:ascii="Times New Roman" w:hAnsi="Times New Roman" w:eastAsia="仿宋_GB2312"/>
          <w:sz w:val="32"/>
          <w:szCs w:val="32"/>
          <w:highlight w:val="none"/>
        </w:rPr>
        <w:t>（TA</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II）</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如果通过风险筛查识别出存在下游的潜在环境社会风险，则要求</w:t>
      </w:r>
      <w:r>
        <w:rPr>
          <w:rFonts w:ascii="Times New Roman" w:hAnsi="Times New Roman" w:eastAsia="仿宋_GB2312"/>
          <w:sz w:val="32"/>
          <w:szCs w:val="32"/>
          <w:highlight w:val="none"/>
        </w:rPr>
        <w:t>在研究过程中按照ESF的要求，充分评估下游的环境与社会潜在风险/影响，并在研究成果中针对下游潜在</w:t>
      </w:r>
      <w:r>
        <w:rPr>
          <w:rFonts w:hint="eastAsia" w:ascii="Times New Roman" w:hAnsi="Times New Roman" w:eastAsia="仿宋_GB2312"/>
          <w:sz w:val="32"/>
          <w:szCs w:val="32"/>
          <w:highlight w:val="none"/>
        </w:rPr>
        <w:t>的环境社会风险/</w:t>
      </w:r>
      <w:r>
        <w:rPr>
          <w:rFonts w:ascii="Times New Roman" w:hAnsi="Times New Roman" w:eastAsia="仿宋_GB2312"/>
          <w:sz w:val="32"/>
          <w:szCs w:val="32"/>
          <w:highlight w:val="none"/>
        </w:rPr>
        <w:t>影响</w:t>
      </w:r>
      <w:r>
        <w:rPr>
          <w:rFonts w:hint="eastAsia" w:ascii="Times New Roman" w:hAnsi="Times New Roman" w:eastAsia="仿宋_GB2312"/>
          <w:sz w:val="32"/>
          <w:szCs w:val="32"/>
          <w:highlight w:val="none"/>
        </w:rPr>
        <w:t>，提出必要</w:t>
      </w:r>
      <w:r>
        <w:rPr>
          <w:rFonts w:ascii="Times New Roman" w:hAnsi="Times New Roman" w:eastAsia="仿宋_GB2312"/>
          <w:sz w:val="32"/>
          <w:szCs w:val="32"/>
          <w:highlight w:val="none"/>
        </w:rPr>
        <w:t>的应对措施。上述环境社会管理要求</w:t>
      </w:r>
      <w:r>
        <w:rPr>
          <w:rFonts w:hint="eastAsia" w:ascii="Times New Roman" w:hAnsi="Times New Roman" w:eastAsia="仿宋_GB2312"/>
          <w:sz w:val="32"/>
          <w:szCs w:val="32"/>
          <w:highlight w:val="none"/>
        </w:rPr>
        <w:t>需体现在相关课题研究的工作大纲（ToRs）中，并将</w:t>
      </w:r>
      <w:r>
        <w:rPr>
          <w:rFonts w:ascii="Times New Roman" w:hAnsi="Times New Roman" w:eastAsia="仿宋_GB2312"/>
          <w:sz w:val="32"/>
          <w:szCs w:val="32"/>
          <w:highlight w:val="none"/>
        </w:rPr>
        <w:t>ToRs事先提交世界银行审查，以确保在研究过程中</w:t>
      </w:r>
      <w:r>
        <w:rPr>
          <w:rFonts w:hint="eastAsia" w:ascii="Times New Roman" w:hAnsi="Times New Roman" w:eastAsia="仿宋_GB2312"/>
          <w:sz w:val="32"/>
          <w:szCs w:val="32"/>
          <w:highlight w:val="none"/>
        </w:rPr>
        <w:t>有效落实</w:t>
      </w:r>
      <w:r>
        <w:rPr>
          <w:rFonts w:ascii="Times New Roman" w:hAnsi="Times New Roman" w:eastAsia="仿宋_GB2312"/>
          <w:sz w:val="32"/>
          <w:szCs w:val="32"/>
          <w:highlight w:val="none"/>
        </w:rPr>
        <w:t>ESF的</w:t>
      </w:r>
      <w:r>
        <w:rPr>
          <w:rFonts w:hint="eastAsia" w:ascii="Times New Roman" w:hAnsi="Times New Roman" w:eastAsia="仿宋_GB2312"/>
          <w:sz w:val="32"/>
          <w:szCs w:val="32"/>
          <w:highlight w:val="none"/>
        </w:rPr>
        <w:t>相关</w:t>
      </w:r>
      <w:r>
        <w:rPr>
          <w:rFonts w:ascii="Times New Roman" w:hAnsi="Times New Roman" w:eastAsia="仿宋_GB2312"/>
          <w:sz w:val="32"/>
          <w:szCs w:val="32"/>
          <w:highlight w:val="none"/>
        </w:rPr>
        <w:t>要求。</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针对能力建设的</w:t>
      </w:r>
      <w:r>
        <w:rPr>
          <w:rFonts w:hint="eastAsia" w:ascii="Times New Roman" w:hAnsi="Times New Roman" w:eastAsia="仿宋_GB2312"/>
          <w:sz w:val="32"/>
          <w:szCs w:val="32"/>
          <w:highlight w:val="none"/>
        </w:rPr>
        <w:t>III</w:t>
      </w:r>
      <w:r>
        <w:rPr>
          <w:rFonts w:ascii="Times New Roman" w:hAnsi="Times New Roman" w:eastAsia="仿宋_GB2312"/>
          <w:sz w:val="32"/>
          <w:szCs w:val="32"/>
          <w:highlight w:val="none"/>
        </w:rPr>
        <w:t>类技援活动</w:t>
      </w:r>
      <w:r>
        <w:rPr>
          <w:rFonts w:hint="eastAsia" w:ascii="Times New Roman" w:hAnsi="Times New Roman" w:eastAsia="仿宋_GB2312"/>
          <w:sz w:val="32"/>
          <w:szCs w:val="32"/>
          <w:highlight w:val="none"/>
        </w:rPr>
        <w:t>（TA</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III）</w:t>
      </w:r>
      <w:r>
        <w:rPr>
          <w:rFonts w:ascii="Times New Roman" w:hAnsi="Times New Roman" w:eastAsia="仿宋_GB2312"/>
          <w:sz w:val="32"/>
          <w:szCs w:val="32"/>
          <w:highlight w:val="none"/>
        </w:rPr>
        <w:t>，无需单独准备环境与社会管理文件。</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74" w:name="_Toc843130618"/>
      <w:r>
        <w:rPr>
          <w:rFonts w:ascii="Times New Roman" w:hAnsi="Times New Roman" w:eastAsia="楷体_GB2312"/>
          <w:bCs w:val="0"/>
          <w:highlight w:val="none"/>
        </w:rPr>
        <w:t xml:space="preserve"> 环境社会管理文件审查批准</w:t>
      </w:r>
      <w:bookmarkEnd w:id="74"/>
    </w:p>
    <w:p>
      <w:pPr>
        <w:widowControl/>
        <w:snapToGrid w:val="0"/>
        <w:spacing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sz w:val="32"/>
          <w:szCs w:val="32"/>
          <w:highlight w:val="none"/>
        </w:rPr>
        <w:t>项目办聘用的项目专家组应对项目办准备的环境社会文件进行质量审查。项目办将经审查的环境社会管理文件，包括ToRs提交世界银行进行审查</w:t>
      </w:r>
      <w:r>
        <w:rPr>
          <w:rFonts w:hint="eastAsia" w:ascii="Times New Roman" w:hAnsi="Times New Roman" w:eastAsia="仿宋_GB2312"/>
          <w:sz w:val="32"/>
          <w:szCs w:val="32"/>
          <w:highlight w:val="none"/>
        </w:rPr>
        <w:t>备案</w:t>
      </w:r>
      <w:r>
        <w:rPr>
          <w:rFonts w:ascii="Times New Roman" w:hAnsi="Times New Roman" w:eastAsia="仿宋_GB2312"/>
          <w:sz w:val="32"/>
          <w:szCs w:val="32"/>
          <w:highlight w:val="none"/>
        </w:rPr>
        <w:t>，满足世行相关要求。</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75" w:name="_Toc1814313556"/>
      <w:r>
        <w:rPr>
          <w:rFonts w:ascii="Times New Roman" w:hAnsi="Times New Roman" w:eastAsia="楷体_GB2312"/>
          <w:bCs w:val="0"/>
          <w:highlight w:val="none"/>
        </w:rPr>
        <w:t xml:space="preserve"> 公众参与</w:t>
      </w:r>
      <w:bookmarkEnd w:id="75"/>
    </w:p>
    <w:p>
      <w:pPr>
        <w:widowControl/>
        <w:snapToGrid w:val="0"/>
        <w:spacing w:line="360" w:lineRule="auto"/>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需负责在各子项目的准备及实施全过程中，有效落实本项目《利益相关方参与计划》（SEP）的要求，进一步识别利益相关方及其需求，并进行信息公开、公众参与和意见反馈，从而确保各利益相关者的有效参与，包括老人，妇女，贫困群体等弱势群体。</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76" w:name="_Toc765229067"/>
      <w:r>
        <w:rPr>
          <w:rFonts w:ascii="Times New Roman" w:hAnsi="Times New Roman" w:eastAsia="楷体_GB2312"/>
          <w:bCs w:val="0"/>
          <w:highlight w:val="none"/>
        </w:rPr>
        <w:t xml:space="preserve"> 监测与报告</w:t>
      </w:r>
      <w:bookmarkEnd w:id="76"/>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项目实施过程中，项目办应在咨询专家的协助下，协同当地主管部门，负责跟踪监督环境与社会管理工作的落实情况，并在项目进度半年报中向世界银行报告相关工作的进展，包括《环境社会管理框架》、《利益相关方参与计划》以及《环境与社会承诺计划》的实施进展</w:t>
      </w:r>
      <w:r>
        <w:rPr>
          <w:rFonts w:hint="eastAsia" w:ascii="Times New Roman" w:hAnsi="Times New Roman" w:eastAsia="仿宋_GB2312"/>
          <w:sz w:val="32"/>
          <w:szCs w:val="32"/>
          <w:highlight w:val="none"/>
        </w:rPr>
        <w:t>并提供相关的文件存档，包括并不限于子项目的筛查情况，环境社会管理程序的实施进展，以及与利益相关方开展沟通的进展等等</w:t>
      </w:r>
      <w:r>
        <w:rPr>
          <w:rFonts w:ascii="Times New Roman" w:hAnsi="Times New Roman" w:eastAsia="仿宋_GB2312"/>
          <w:sz w:val="32"/>
          <w:szCs w:val="32"/>
          <w:highlight w:val="none"/>
        </w:rPr>
        <w:t>。</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如果获知任何项目活动发生可能对环境、受影响社区、公众或工人产生重大不利影响的环境和社会事故时，应在48小时内通知世界银行，提供有关事故尽可能详细的信息，说明已采取或计划采取的措施，以及承包商和监管机构提供的适当信息。随后，根据世界银行的要求编制相关事故处理报告，并提出任何防止其再次发生的措施。</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77" w:name="_Toc57042930"/>
      <w:bookmarkStart w:id="78" w:name="_Toc1394340255"/>
      <w:bookmarkStart w:id="79" w:name="_Toc55111664"/>
      <w:r>
        <w:rPr>
          <w:rFonts w:ascii="Times New Roman" w:hAnsi="Times New Roman" w:eastAsia="楷体_GB2312"/>
          <w:bCs w:val="0"/>
          <w:highlight w:val="none"/>
        </w:rPr>
        <w:t xml:space="preserve"> 项目完工及评估</w:t>
      </w:r>
      <w:bookmarkEnd w:id="77"/>
      <w:bookmarkEnd w:id="78"/>
      <w:bookmarkEnd w:id="79"/>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作为整个项目完工评估的一部分，项目办需要在子项目完工阶段对子项目实施过程中的环境与社会管理绩效进行回顾和评估，评估实际效果，总结经验教训。</w:t>
      </w:r>
    </w:p>
    <w:p>
      <w:pPr>
        <w:pStyle w:val="3"/>
        <w:numPr>
          <w:ilvl w:val="0"/>
          <w:numId w:val="2"/>
        </w:numPr>
        <w:snapToGrid w:val="0"/>
        <w:spacing w:before="0" w:after="0"/>
        <w:ind w:left="0" w:firstLine="0"/>
        <w:rPr>
          <w:rFonts w:ascii="Times New Roman" w:hAnsi="Times New Roman" w:eastAsia="黑体"/>
          <w:b w:val="0"/>
          <w:bCs w:val="0"/>
          <w:sz w:val="32"/>
          <w:szCs w:val="32"/>
          <w:highlight w:val="none"/>
        </w:rPr>
      </w:pPr>
      <w:bookmarkStart w:id="80" w:name="_Toc61128032"/>
      <w:r>
        <w:rPr>
          <w:rFonts w:ascii="Times New Roman" w:hAnsi="Times New Roman" w:eastAsia="黑体"/>
          <w:b w:val="0"/>
          <w:bCs w:val="0"/>
          <w:sz w:val="32"/>
          <w:szCs w:val="32"/>
          <w:highlight w:val="none"/>
        </w:rPr>
        <w:t>信息公开及公众参与</w:t>
      </w:r>
      <w:bookmarkEnd w:id="80"/>
    </w:p>
    <w:p>
      <w:pPr>
        <w:widowControl/>
        <w:snapToGrid w:val="0"/>
        <w:spacing w:line="360" w:lineRule="auto"/>
        <w:ind w:firstLine="640" w:firstLineChars="200"/>
        <w:rPr>
          <w:rFonts w:ascii="Times New Roman" w:hAnsi="Times New Roman" w:eastAsia="仿宋_GB2312"/>
          <w:sz w:val="32"/>
          <w:szCs w:val="32"/>
          <w:highlight w:val="none"/>
        </w:rPr>
      </w:pPr>
      <w:bookmarkStart w:id="81" w:name="_Toc57042940"/>
      <w:bookmarkStart w:id="82" w:name="_Toc55111674"/>
      <w:bookmarkStart w:id="83" w:name="_Toc27428039"/>
      <w:r>
        <w:rPr>
          <w:rFonts w:ascii="Times New Roman" w:hAnsi="Times New Roman" w:eastAsia="仿宋_GB2312"/>
          <w:sz w:val="32"/>
          <w:szCs w:val="32"/>
          <w:highlight w:val="none"/>
        </w:rPr>
        <w:t>为确保项目利益相关方的利益及关切，</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非常重视信息公开和公众参与。在项目准备阶段，项目办通过一系列的信息公开和公众参与活动，初步确定了项目拟开展的活动，及其环境和社会风险和影响。</w:t>
      </w:r>
      <w:r>
        <w:rPr>
          <w:rFonts w:ascii="Times New Roman" w:hAnsi="Times New Roman" w:eastAsia="仿宋_GB2312"/>
          <w:kern w:val="0"/>
          <w:sz w:val="32"/>
          <w:szCs w:val="32"/>
          <w:highlight w:val="none"/>
        </w:rPr>
        <w:t>根据各子项目的活动和特点，不涉及需要特殊审批的事项，仅需对项目进行日常的管理和监督。</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在此基础上，初步识别了利益相关方，并制定了利益相关方参与计划（SEP），用以指导在整个项目周期内的信息公开和公众参与活动，以确保利益相关方的关切和建议纳入项目之中。主要如下：</w:t>
      </w:r>
    </w:p>
    <w:p>
      <w:pPr>
        <w:pStyle w:val="4"/>
        <w:numPr>
          <w:ilvl w:val="1"/>
          <w:numId w:val="2"/>
        </w:numPr>
        <w:snapToGrid w:val="0"/>
        <w:spacing w:before="0" w:after="0" w:line="360" w:lineRule="auto"/>
        <w:ind w:left="0" w:firstLine="0"/>
        <w:rPr>
          <w:rFonts w:ascii="Times New Roman" w:hAnsi="Times New Roman" w:eastAsia="楷体_GB2312"/>
          <w:bCs w:val="0"/>
          <w:highlight w:val="none"/>
        </w:rPr>
      </w:pPr>
      <w:bookmarkStart w:id="84" w:name="_Toc1061752513"/>
      <w:r>
        <w:rPr>
          <w:rFonts w:ascii="Times New Roman" w:hAnsi="Times New Roman" w:eastAsia="楷体_GB2312"/>
          <w:bCs w:val="0"/>
          <w:highlight w:val="none"/>
        </w:rPr>
        <w:t xml:space="preserve"> 利益相关方的识别</w:t>
      </w:r>
      <w:bookmarkEnd w:id="81"/>
      <w:bookmarkEnd w:id="82"/>
      <w:bookmarkEnd w:id="83"/>
      <w:bookmarkEnd w:id="84"/>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不同项目内容涉及到不同的利益相关者，因此需根据项目性质和内容的不同，识别不同层面的利益相关者，了解他们不同的职责和利益。根据世行环境社会标准10（ESS10）及项目特点，项目利益相关方包括：受影响方、其他利益相关方、弱势群体</w:t>
      </w:r>
      <w:r>
        <w:rPr>
          <w:rFonts w:ascii="Times New Roman" w:hAnsi="Times New Roman" w:eastAsia="仿宋_GB2312"/>
          <w:sz w:val="32"/>
          <w:szCs w:val="32"/>
          <w:highlight w:val="none"/>
          <w:vertAlign w:val="superscript"/>
        </w:rPr>
        <w:footnoteReference w:id="1"/>
      </w:r>
      <w:r>
        <w:rPr>
          <w:rFonts w:ascii="Times New Roman" w:hAnsi="Times New Roman" w:eastAsia="仿宋_GB2312"/>
          <w:sz w:val="32"/>
          <w:szCs w:val="32"/>
          <w:highlight w:val="none"/>
        </w:rPr>
        <w:t>。</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（1）受影响各方：包括社区居民、畜禽养殖户、动物疫病防控人员、实验室科研人员等。</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（2）其他利益相关方：项目办及实施机构、社区、媒体、咨询单位等。</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（3）项目的弱势群体：包括老人、留守儿童、传染病患者、低收入人群、少数民族。</w:t>
      </w:r>
    </w:p>
    <w:p>
      <w:pPr>
        <w:widowControl/>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利益相关方识别的详细内容见本项目利益相关方参与计划（SEP）。</w:t>
      </w:r>
    </w:p>
    <w:p>
      <w:pPr>
        <w:pStyle w:val="4"/>
        <w:numPr>
          <w:ilvl w:val="1"/>
          <w:numId w:val="2"/>
        </w:numPr>
        <w:adjustRightInd w:val="0"/>
        <w:snapToGrid w:val="0"/>
        <w:spacing w:before="0" w:after="0" w:line="360" w:lineRule="auto"/>
        <w:ind w:left="0" w:firstLine="0"/>
        <w:rPr>
          <w:rFonts w:ascii="Times New Roman" w:hAnsi="Times New Roman" w:eastAsia="楷体_GB2312"/>
          <w:bCs w:val="0"/>
          <w:highlight w:val="none"/>
        </w:rPr>
      </w:pPr>
      <w:bookmarkStart w:id="85" w:name="_Toc1317749653"/>
      <w:bookmarkStart w:id="86" w:name="_Toc55111675"/>
      <w:bookmarkStart w:id="87" w:name="_Toc54380848"/>
      <w:bookmarkStart w:id="88" w:name="_Toc57042941"/>
      <w:r>
        <w:rPr>
          <w:rFonts w:ascii="Times New Roman" w:hAnsi="Times New Roman" w:eastAsia="楷体_GB2312"/>
          <w:bCs w:val="0"/>
          <w:highlight w:val="none"/>
        </w:rPr>
        <w:t xml:space="preserve"> 准备期已经完成的信息披露与磋商活动</w:t>
      </w:r>
      <w:bookmarkEnd w:id="85"/>
      <w:bookmarkEnd w:id="86"/>
      <w:bookmarkEnd w:id="87"/>
      <w:bookmarkEnd w:id="88"/>
    </w:p>
    <w:p>
      <w:pPr>
        <w:tabs>
          <w:tab w:val="left" w:pos="312"/>
        </w:tabs>
        <w:adjustRightInd w:val="0"/>
        <w:snapToGrid w:val="0"/>
        <w:spacing w:line="360" w:lineRule="auto"/>
        <w:ind w:firstLine="643" w:firstLineChars="200"/>
        <w:rPr>
          <w:rFonts w:ascii="Times New Roman" w:hAnsi="Times New Roman" w:eastAsia="仿宋_GB2312"/>
          <w:b/>
          <w:sz w:val="32"/>
          <w:szCs w:val="32"/>
          <w:highlight w:val="none"/>
        </w:rPr>
      </w:pPr>
      <w:r>
        <w:rPr>
          <w:rFonts w:ascii="Times New Roman" w:hAnsi="Times New Roman" w:eastAsia="仿宋_GB2312"/>
          <w:b/>
          <w:sz w:val="32"/>
          <w:szCs w:val="32"/>
          <w:highlight w:val="none"/>
        </w:rPr>
        <w:t>（1）已完成的信息公开活动</w:t>
      </w:r>
    </w:p>
    <w:p>
      <w:pPr>
        <w:pStyle w:val="40"/>
        <w:adjustRightInd w:val="0"/>
        <w:snapToGrid w:val="0"/>
        <w:spacing w:line="360" w:lineRule="auto"/>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在项目准备及前期实施阶段，</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在中国动物卫生与流行病学中心官网开展了一系列信息公开和公益活动，未收到意见反馈。公开的信息包括：</w:t>
      </w:r>
    </w:p>
    <w:p>
      <w:pPr>
        <w:pStyle w:val="83"/>
        <w:widowControl/>
        <w:spacing w:line="360" w:lineRule="auto"/>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1）预防、准备和应对新发传染病的有关政策</w:t>
      </w:r>
    </w:p>
    <w:p>
      <w:pPr>
        <w:pStyle w:val="83"/>
        <w:widowControl/>
        <w:spacing w:line="360" w:lineRule="auto"/>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2）项目理念及现实意义</w:t>
      </w:r>
    </w:p>
    <w:p>
      <w:pPr>
        <w:pStyle w:val="83"/>
        <w:widowControl/>
        <w:spacing w:line="360" w:lineRule="auto"/>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3）本项目的信息，包括项目目标、拟建的内容及实施安排等</w:t>
      </w:r>
    </w:p>
    <w:p>
      <w:pPr>
        <w:pStyle w:val="40"/>
        <w:spacing w:line="360" w:lineRule="auto"/>
        <w:ind w:firstLine="643"/>
        <w:rPr>
          <w:rFonts w:ascii="Times New Roman" w:hAnsi="Times New Roman" w:eastAsia="仿宋_GB2312"/>
          <w:b/>
          <w:sz w:val="32"/>
          <w:szCs w:val="32"/>
          <w:highlight w:val="none"/>
        </w:rPr>
      </w:pPr>
      <w:r>
        <w:rPr>
          <w:rFonts w:ascii="Times New Roman" w:hAnsi="Times New Roman" w:eastAsia="仿宋_GB2312"/>
          <w:b/>
          <w:sz w:val="32"/>
          <w:szCs w:val="32"/>
          <w:highlight w:val="none"/>
        </w:rPr>
        <w:t>（2）已完成的磋商活动</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积极推动世界银行“预防、准备与应对新发传染病项目”农业农村部子项目的实施。2022年，受农业农村建筑工程研究所、海南省动物疫病预防控制中心邀请，本项目骨干成员李金明同志担任项目咨询专家，对海南省“同一健康”项目的监测体系的构建、设备选购等多方面进行了指导，修改后的可研报告获得财政部及海南发改委的一致好评。为更好的设计各子项目的内容及实施方案，项目办进行了一系列磋商，以确定本项目潜在的活动及相关内容。参与磋商的利益相关方包括：</w:t>
      </w:r>
    </w:p>
    <w:p>
      <w:pPr>
        <w:pStyle w:val="84"/>
        <w:spacing w:line="360" w:lineRule="auto"/>
        <w:ind w:firstLine="64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1）相关政府部门：包括农业农村部畜牧兽医局、计划财务司等；</w:t>
      </w:r>
    </w:p>
    <w:p>
      <w:pPr>
        <w:pStyle w:val="84"/>
        <w:spacing w:line="360" w:lineRule="auto"/>
        <w:ind w:firstLine="64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2）社区居委会</w:t>
      </w:r>
    </w:p>
    <w:p>
      <w:pPr>
        <w:pStyle w:val="84"/>
        <w:spacing w:line="360" w:lineRule="auto"/>
        <w:ind w:firstLine="64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3）社区居民</w:t>
      </w:r>
    </w:p>
    <w:p>
      <w:pPr>
        <w:pStyle w:val="84"/>
        <w:spacing w:line="360" w:lineRule="auto"/>
        <w:ind w:firstLine="64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4）少数民族等弱势群体</w:t>
      </w:r>
    </w:p>
    <w:p>
      <w:pPr>
        <w:adjustRightInd w:val="0"/>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在已展开公众参与中，主要的活动流程如下：</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1）项目办介绍项目的目标和项目内容；</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2）项目办介绍项目环境和社会影响研究的目的、世行的参与及其环境社会政策的要求；</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3）与相关政府部门进行沟通，获得有关环境和社会基线数据和信息；</w:t>
      </w:r>
    </w:p>
    <w:p>
      <w:pPr>
        <w:pStyle w:val="27"/>
        <w:snapToGrid w:val="0"/>
        <w:spacing w:before="0" w:beforeAutospacing="0" w:after="0" w:afterAutospacing="0" w:line="360" w:lineRule="auto"/>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kern w:val="2"/>
          <w:sz w:val="32"/>
          <w:szCs w:val="32"/>
          <w:highlight w:val="none"/>
        </w:rPr>
        <w:t>4）参与人员对项目自由发表意见。</w:t>
      </w:r>
    </w:p>
    <w:p>
      <w:pPr>
        <w:pStyle w:val="4"/>
        <w:numPr>
          <w:ilvl w:val="1"/>
          <w:numId w:val="2"/>
        </w:numPr>
        <w:snapToGrid w:val="0"/>
        <w:spacing w:before="0" w:after="0" w:line="360" w:lineRule="auto"/>
        <w:ind w:left="0" w:firstLine="0"/>
        <w:jc w:val="left"/>
        <w:rPr>
          <w:rFonts w:ascii="Times New Roman" w:hAnsi="Times New Roman" w:eastAsia="楷体_GB2312"/>
          <w:bCs w:val="0"/>
          <w:highlight w:val="none"/>
        </w:rPr>
      </w:pPr>
      <w:bookmarkStart w:id="89" w:name="_Toc1528906374"/>
      <w:r>
        <w:rPr>
          <w:rFonts w:ascii="Times New Roman" w:hAnsi="Times New Roman" w:eastAsia="楷体_GB2312"/>
          <w:bCs w:val="0"/>
          <w:highlight w:val="none"/>
        </w:rPr>
        <w:t xml:space="preserve"> 利益相关方参与实施程序及要求</w:t>
      </w:r>
      <w:bookmarkEnd w:id="89"/>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本项目的主要活动内容是支持政策、规划、方案等制定。根据有关类似研究项目的实践，其过程为概念阶段、研究阶段、评审阶段。各阶段有关利益相关方参与的要求如下：</w:t>
      </w:r>
    </w:p>
    <w:p>
      <w:pPr>
        <w:snapToGrid w:val="0"/>
        <w:spacing w:line="360" w:lineRule="auto"/>
        <w:ind w:firstLine="643" w:firstLineChars="200"/>
        <w:rPr>
          <w:rFonts w:ascii="Times New Roman" w:hAnsi="Times New Roman" w:eastAsia="仿宋_GB2312"/>
          <w:b/>
          <w:sz w:val="32"/>
          <w:szCs w:val="32"/>
          <w:highlight w:val="none"/>
        </w:rPr>
      </w:pPr>
      <w:r>
        <w:rPr>
          <w:rFonts w:ascii="Times New Roman" w:hAnsi="Times New Roman" w:eastAsia="仿宋_GB2312"/>
          <w:b/>
          <w:sz w:val="32"/>
          <w:szCs w:val="32"/>
          <w:highlight w:val="none"/>
        </w:rPr>
        <w:t>（1）概念阶段</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在项目启动之前，</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将与政府部门、行业协会、科研机构及专家开展必要的咨询和协商活动，识别问题，提出技援项目的目的、任务要求等，并对潜在的环境和社会影响及利益相关方按照世行环境和社会标准进行初步筛查和识别，并制定技援项目活动工作ToRs。环境社会管理要求</w:t>
      </w:r>
      <w:r>
        <w:rPr>
          <w:rFonts w:hint="eastAsia" w:ascii="Times New Roman" w:hAnsi="Times New Roman" w:eastAsia="仿宋_GB2312"/>
          <w:sz w:val="32"/>
          <w:szCs w:val="32"/>
          <w:highlight w:val="none"/>
        </w:rPr>
        <w:t>需体现在ToRs中，并</w:t>
      </w:r>
      <w:r>
        <w:rPr>
          <w:rFonts w:ascii="Times New Roman" w:hAnsi="Times New Roman" w:eastAsia="仿宋_GB2312"/>
          <w:sz w:val="32"/>
          <w:szCs w:val="32"/>
          <w:highlight w:val="none"/>
        </w:rPr>
        <w:t>事先提交世界银行审查。</w:t>
      </w:r>
    </w:p>
    <w:p>
      <w:pPr>
        <w:snapToGrid w:val="0"/>
        <w:spacing w:line="360" w:lineRule="auto"/>
        <w:ind w:firstLine="643" w:firstLineChars="200"/>
        <w:rPr>
          <w:rFonts w:ascii="Times New Roman" w:hAnsi="Times New Roman" w:eastAsia="仿宋_GB2312"/>
          <w:b/>
          <w:sz w:val="32"/>
          <w:szCs w:val="32"/>
          <w:highlight w:val="none"/>
        </w:rPr>
      </w:pPr>
      <w:r>
        <w:rPr>
          <w:rFonts w:ascii="Times New Roman" w:hAnsi="Times New Roman" w:eastAsia="仿宋_GB2312"/>
          <w:b/>
          <w:sz w:val="32"/>
          <w:szCs w:val="32"/>
          <w:highlight w:val="none"/>
        </w:rPr>
        <w:t>（2）研究阶段</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在项目活动启动时，项目咨询单位需根据工作ToRs制定利益相关方参与计划具体实施方案。</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利益相关者参与计划具体实施方案的目标是确保及时提供相关的和可理解的项目信息，也为利益相关方创造一个可以表达观点的沟通机制，并对其意见进行考虑和反馈。随着项目的推进，该实施方案可以进一步完善。更新的SEP需提交世行审查确认。</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在项目活动实施中，项目咨询单位将按照利益相关方实施计划开展信息公开和公众参与，并在项目活动和产出中考虑不同利益相关的利益。项目咨询单位在研究过程中定期向</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报告利益相关方参与实施的情况。</w:t>
      </w:r>
    </w:p>
    <w:p>
      <w:pPr>
        <w:snapToGrid w:val="0"/>
        <w:spacing w:line="360" w:lineRule="auto"/>
        <w:ind w:firstLine="643" w:firstLineChars="200"/>
        <w:rPr>
          <w:rFonts w:ascii="Times New Roman" w:hAnsi="Times New Roman" w:eastAsia="仿宋_GB2312"/>
          <w:b/>
          <w:sz w:val="32"/>
          <w:szCs w:val="32"/>
          <w:highlight w:val="none"/>
        </w:rPr>
      </w:pPr>
      <w:r>
        <w:rPr>
          <w:rFonts w:ascii="Times New Roman" w:hAnsi="Times New Roman" w:eastAsia="仿宋_GB2312"/>
          <w:b/>
          <w:sz w:val="32"/>
          <w:szCs w:val="32"/>
          <w:highlight w:val="none"/>
        </w:rPr>
        <w:t>（3）评审阶段</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项目研究成果草案形成后，将开展以下信息公开和咨询活动：</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首先，</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将征询相关部门、行业协会、科研机构、业内专家及相关行业代表群体的意见。根据反馈意见，对项目研究成果草案进行修改。</w:t>
      </w:r>
    </w:p>
    <w:p>
      <w:pPr>
        <w:snapToGrid w:val="0"/>
        <w:spacing w:line="360" w:lineRule="auto"/>
        <w:ind w:firstLine="480" w:firstLineChars="15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其次，</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将在官方网站对研究成果进行公开，咨询公众的意见和建议。公示时间不得少于10个工作日。</w:t>
      </w:r>
    </w:p>
    <w:p>
      <w:pPr>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最后，</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及项目专家组将根据收到意见和建议对研究成果进行修改，并对收到意见和建议进行反馈。</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综上所述，利益相关方参与计划及实施要求概要详见表6-1。</w:t>
      </w:r>
    </w:p>
    <w:p>
      <w:pPr>
        <w:pStyle w:val="8"/>
        <w:snapToGrid w:val="0"/>
        <w:spacing w:after="162" w:afterLines="50" w:line="520" w:lineRule="exact"/>
        <w:jc w:val="center"/>
        <w:rPr>
          <w:rFonts w:ascii="Times New Roman" w:hAnsi="Times New Roman"/>
          <w:sz w:val="24"/>
          <w:szCs w:val="24"/>
          <w:highlight w:val="none"/>
        </w:rPr>
      </w:pPr>
      <w:bookmarkStart w:id="90" w:name="_Toc57978807"/>
      <w:r>
        <w:rPr>
          <w:rFonts w:ascii="Times New Roman" w:hAnsi="Times New Roman"/>
          <w:b/>
          <w:bCs/>
          <w:sz w:val="24"/>
          <w:szCs w:val="24"/>
          <w:highlight w:val="none"/>
        </w:rPr>
        <w:t>表</w:t>
      </w:r>
      <w:r>
        <w:rPr>
          <w:rFonts w:ascii="Times New Roman" w:hAnsi="Times New Roman"/>
          <w:b/>
          <w:bCs/>
          <w:sz w:val="24"/>
          <w:szCs w:val="24"/>
          <w:highlight w:val="none"/>
        </w:rPr>
        <w:fldChar w:fldCharType="begin"/>
      </w:r>
      <w:r>
        <w:rPr>
          <w:rFonts w:ascii="Times New Roman" w:hAnsi="Times New Roman"/>
          <w:b/>
          <w:bCs/>
          <w:sz w:val="24"/>
          <w:szCs w:val="24"/>
          <w:highlight w:val="none"/>
        </w:rPr>
        <w:instrText xml:space="preserve"> STYLEREF 1 \s </w:instrText>
      </w:r>
      <w:r>
        <w:rPr>
          <w:rFonts w:ascii="Times New Roman" w:hAnsi="Times New Roman"/>
          <w:b/>
          <w:bCs/>
          <w:sz w:val="24"/>
          <w:szCs w:val="24"/>
          <w:highlight w:val="none"/>
        </w:rPr>
        <w:fldChar w:fldCharType="separate"/>
      </w:r>
      <w:r>
        <w:rPr>
          <w:rFonts w:ascii="Times New Roman" w:hAnsi="Times New Roman"/>
          <w:b/>
          <w:bCs/>
          <w:sz w:val="24"/>
          <w:szCs w:val="24"/>
          <w:highlight w:val="none"/>
        </w:rPr>
        <w:t>6</w:t>
      </w:r>
      <w:r>
        <w:rPr>
          <w:rFonts w:ascii="Times New Roman" w:hAnsi="Times New Roman"/>
          <w:b/>
          <w:bCs/>
          <w:sz w:val="24"/>
          <w:szCs w:val="24"/>
          <w:highlight w:val="none"/>
        </w:rPr>
        <w:fldChar w:fldCharType="end"/>
      </w:r>
      <w:r>
        <w:rPr>
          <w:rFonts w:ascii="Times New Roman" w:hAnsi="Times New Roman"/>
          <w:b/>
          <w:bCs/>
          <w:sz w:val="24"/>
          <w:szCs w:val="24"/>
          <w:highlight w:val="none"/>
        </w:rPr>
        <w:t>-</w:t>
      </w:r>
      <w:r>
        <w:rPr>
          <w:rFonts w:ascii="Times New Roman" w:hAnsi="Times New Roman"/>
          <w:b/>
          <w:bCs/>
          <w:sz w:val="24"/>
          <w:szCs w:val="24"/>
          <w:highlight w:val="none"/>
        </w:rPr>
        <w:fldChar w:fldCharType="begin"/>
      </w:r>
      <w:r>
        <w:rPr>
          <w:rFonts w:ascii="Times New Roman" w:hAnsi="Times New Roman"/>
          <w:b/>
          <w:bCs/>
          <w:sz w:val="24"/>
          <w:szCs w:val="24"/>
          <w:highlight w:val="none"/>
        </w:rPr>
        <w:instrText xml:space="preserve"> SEQ 表 \* ARABIC \s 1 </w:instrText>
      </w:r>
      <w:r>
        <w:rPr>
          <w:rFonts w:ascii="Times New Roman" w:hAnsi="Times New Roman"/>
          <w:b/>
          <w:bCs/>
          <w:sz w:val="24"/>
          <w:szCs w:val="24"/>
          <w:highlight w:val="none"/>
        </w:rPr>
        <w:fldChar w:fldCharType="separate"/>
      </w:r>
      <w:r>
        <w:rPr>
          <w:rFonts w:ascii="Times New Roman" w:hAnsi="Times New Roman"/>
          <w:b/>
          <w:bCs/>
          <w:sz w:val="24"/>
          <w:szCs w:val="24"/>
          <w:highlight w:val="none"/>
        </w:rPr>
        <w:t>1</w:t>
      </w:r>
      <w:r>
        <w:rPr>
          <w:rFonts w:ascii="Times New Roman" w:hAnsi="Times New Roman"/>
          <w:b/>
          <w:bCs/>
          <w:sz w:val="24"/>
          <w:szCs w:val="24"/>
          <w:highlight w:val="none"/>
        </w:rPr>
        <w:fldChar w:fldCharType="end"/>
      </w:r>
      <w:bookmarkStart w:id="91" w:name="_Toc25270"/>
      <w:r>
        <w:rPr>
          <w:rFonts w:ascii="Times New Roman" w:hAnsi="Times New Roman"/>
          <w:sz w:val="24"/>
          <w:szCs w:val="24"/>
          <w:highlight w:val="none"/>
        </w:rPr>
        <w:t xml:space="preserve"> 利益相关方参与计划及实施要求概要</w:t>
      </w:r>
      <w:bookmarkEnd w:id="90"/>
      <w:bookmarkEnd w:id="91"/>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3113"/>
        <w:gridCol w:w="1699"/>
        <w:gridCol w:w="2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979" w:type="pct"/>
            <w:shd w:val="clear" w:color="auto" w:fill="auto"/>
            <w:vAlign w:val="center"/>
          </w:tcPr>
          <w:p>
            <w:pPr>
              <w:snapToGrid w:val="0"/>
              <w:spacing w:line="240" w:lineRule="exact"/>
              <w:jc w:val="center"/>
              <w:rPr>
                <w:rFonts w:ascii="Times New Roman" w:hAnsi="Times New Roman" w:eastAsia="黑体"/>
                <w:szCs w:val="21"/>
                <w:highlight w:val="none"/>
              </w:rPr>
            </w:pPr>
            <w:r>
              <w:rPr>
                <w:rFonts w:ascii="Times New Roman" w:hAnsi="Times New Roman" w:eastAsia="黑体"/>
                <w:szCs w:val="21"/>
                <w:highlight w:val="none"/>
              </w:rPr>
              <w:t>活动阶段</w:t>
            </w:r>
          </w:p>
        </w:tc>
        <w:tc>
          <w:tcPr>
            <w:tcW w:w="1829" w:type="pct"/>
            <w:shd w:val="clear" w:color="auto" w:fill="auto"/>
            <w:vAlign w:val="center"/>
          </w:tcPr>
          <w:p>
            <w:pPr>
              <w:snapToGrid w:val="0"/>
              <w:spacing w:line="240" w:lineRule="exact"/>
              <w:jc w:val="center"/>
              <w:rPr>
                <w:rFonts w:ascii="Times New Roman" w:hAnsi="Times New Roman" w:eastAsia="黑体"/>
                <w:szCs w:val="21"/>
                <w:highlight w:val="none"/>
              </w:rPr>
            </w:pPr>
            <w:r>
              <w:rPr>
                <w:rFonts w:ascii="Times New Roman" w:hAnsi="Times New Roman" w:eastAsia="黑体"/>
                <w:szCs w:val="21"/>
                <w:highlight w:val="none"/>
              </w:rPr>
              <w:t>利益相关方参与活动目的</w:t>
            </w:r>
          </w:p>
        </w:tc>
        <w:tc>
          <w:tcPr>
            <w:tcW w:w="998" w:type="pct"/>
            <w:shd w:val="clear" w:color="auto" w:fill="auto"/>
            <w:vAlign w:val="center"/>
          </w:tcPr>
          <w:p>
            <w:pPr>
              <w:snapToGrid w:val="0"/>
              <w:spacing w:line="240" w:lineRule="exact"/>
              <w:jc w:val="center"/>
              <w:rPr>
                <w:rFonts w:ascii="Times New Roman" w:hAnsi="Times New Roman" w:eastAsia="黑体"/>
                <w:szCs w:val="21"/>
                <w:highlight w:val="none"/>
              </w:rPr>
            </w:pPr>
            <w:r>
              <w:rPr>
                <w:rFonts w:ascii="Times New Roman" w:hAnsi="Times New Roman" w:eastAsia="黑体"/>
                <w:szCs w:val="21"/>
                <w:highlight w:val="none"/>
              </w:rPr>
              <w:t>时间表</w:t>
            </w:r>
          </w:p>
        </w:tc>
        <w:tc>
          <w:tcPr>
            <w:tcW w:w="1194" w:type="pct"/>
            <w:shd w:val="clear" w:color="auto" w:fill="auto"/>
            <w:vAlign w:val="center"/>
          </w:tcPr>
          <w:p>
            <w:pPr>
              <w:snapToGrid w:val="0"/>
              <w:spacing w:line="240" w:lineRule="exact"/>
              <w:jc w:val="center"/>
              <w:rPr>
                <w:rFonts w:ascii="Times New Roman" w:hAnsi="Times New Roman" w:eastAsia="黑体"/>
                <w:szCs w:val="21"/>
                <w:highlight w:val="none"/>
              </w:rPr>
            </w:pPr>
            <w:r>
              <w:rPr>
                <w:rFonts w:ascii="Times New Roman" w:hAnsi="Times New Roman" w:eastAsia="黑体"/>
                <w:szCs w:val="21"/>
                <w:highlight w:val="none"/>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概念阶段</w:t>
            </w:r>
          </w:p>
        </w:tc>
        <w:tc>
          <w:tcPr>
            <w:tcW w:w="182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制定工作ToRs，包括利益相关方参与的要求</w:t>
            </w:r>
          </w:p>
        </w:tc>
        <w:tc>
          <w:tcPr>
            <w:tcW w:w="998"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项目活动开始前</w:t>
            </w:r>
          </w:p>
        </w:tc>
        <w:tc>
          <w:tcPr>
            <w:tcW w:w="1194"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ToRs提交世行审查确认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7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研究阶段</w:t>
            </w:r>
          </w:p>
        </w:tc>
        <w:tc>
          <w:tcPr>
            <w:tcW w:w="182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制定利益相关方参与实施方案；进行信息公开和磋商，在研究中考虑利益相关方的利益和关切</w:t>
            </w:r>
          </w:p>
        </w:tc>
        <w:tc>
          <w:tcPr>
            <w:tcW w:w="998"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项目活动研究中</w:t>
            </w:r>
          </w:p>
        </w:tc>
        <w:tc>
          <w:tcPr>
            <w:tcW w:w="1194"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利益相关方实施方案提交世行审查确认</w:t>
            </w:r>
            <w:r>
              <w:rPr>
                <w:rFonts w:hint="eastAsia" w:ascii="Times New Roman" w:hAnsi="Times New Roman" w:eastAsia="仿宋_GB2312"/>
                <w:szCs w:val="21"/>
                <w:highlight w:val="none"/>
              </w:rPr>
              <w:t>，并将进展通过半年报向世行进行报告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7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评审阶段</w:t>
            </w:r>
          </w:p>
        </w:tc>
        <w:tc>
          <w:tcPr>
            <w:tcW w:w="1829"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项目成果进行信息公开和公众咨询，并反馈意见</w:t>
            </w:r>
          </w:p>
        </w:tc>
        <w:tc>
          <w:tcPr>
            <w:tcW w:w="998" w:type="pct"/>
            <w:vAlign w:val="center"/>
          </w:tcPr>
          <w:p>
            <w:pPr>
              <w:snapToGrid w:val="0"/>
              <w:spacing w:line="240" w:lineRule="exact"/>
              <w:rPr>
                <w:rFonts w:ascii="Times New Roman" w:hAnsi="Times New Roman" w:eastAsia="仿宋_GB2312"/>
                <w:szCs w:val="21"/>
                <w:highlight w:val="none"/>
              </w:rPr>
            </w:pPr>
            <w:r>
              <w:rPr>
                <w:rFonts w:ascii="Times New Roman" w:hAnsi="Times New Roman" w:eastAsia="仿宋_GB2312"/>
                <w:szCs w:val="21"/>
                <w:highlight w:val="none"/>
              </w:rPr>
              <w:t>最少公示10个工作日</w:t>
            </w:r>
          </w:p>
        </w:tc>
        <w:tc>
          <w:tcPr>
            <w:tcW w:w="1194" w:type="pct"/>
            <w:vAlign w:val="center"/>
          </w:tcPr>
          <w:p>
            <w:pPr>
              <w:snapToGrid w:val="0"/>
              <w:spacing w:line="240" w:lineRule="exact"/>
              <w:rPr>
                <w:rFonts w:ascii="Times New Roman" w:hAnsi="Times New Roman" w:eastAsia="仿宋_GB2312"/>
                <w:szCs w:val="21"/>
                <w:highlight w:val="none"/>
              </w:rPr>
            </w:pPr>
            <w:r>
              <w:rPr>
                <w:rFonts w:hint="eastAsia" w:ascii="Times New Roman" w:hAnsi="Times New Roman" w:eastAsia="仿宋_GB2312"/>
                <w:szCs w:val="21"/>
                <w:highlight w:val="none"/>
              </w:rPr>
              <w:t>项目管理办公室</w:t>
            </w:r>
            <w:r>
              <w:rPr>
                <w:rFonts w:ascii="Times New Roman" w:hAnsi="Times New Roman" w:eastAsia="仿宋_GB2312"/>
                <w:szCs w:val="21"/>
                <w:highlight w:val="none"/>
              </w:rPr>
              <w:t>及项目专家组对意见进行反馈</w:t>
            </w:r>
            <w:r>
              <w:rPr>
                <w:rFonts w:hint="eastAsia" w:ascii="Times New Roman" w:hAnsi="Times New Roman" w:eastAsia="仿宋_GB2312"/>
                <w:szCs w:val="21"/>
                <w:highlight w:val="none"/>
              </w:rPr>
              <w:t>，将反馈结果记录和报告</w:t>
            </w:r>
          </w:p>
        </w:tc>
      </w:tr>
    </w:tbl>
    <w:p>
      <w:pPr>
        <w:tabs>
          <w:tab w:val="left" w:pos="1666"/>
          <w:tab w:val="left" w:pos="4779"/>
          <w:tab w:val="left" w:pos="6478"/>
        </w:tabs>
        <w:snapToGrid w:val="0"/>
        <w:spacing w:line="360" w:lineRule="exact"/>
        <w:jc w:val="left"/>
        <w:rPr>
          <w:rFonts w:ascii="Times New Roman" w:hAnsi="Times New Roman" w:eastAsia="宋体"/>
          <w:szCs w:val="21"/>
          <w:highlight w:val="none"/>
        </w:rPr>
      </w:pPr>
    </w:p>
    <w:p>
      <w:pPr>
        <w:pStyle w:val="4"/>
        <w:numPr>
          <w:ilvl w:val="1"/>
          <w:numId w:val="2"/>
        </w:numPr>
        <w:snapToGrid w:val="0"/>
        <w:spacing w:before="0" w:after="0" w:line="360" w:lineRule="auto"/>
        <w:ind w:left="0" w:firstLine="0"/>
        <w:rPr>
          <w:rFonts w:ascii="Times New Roman" w:hAnsi="Times New Roman" w:eastAsia="仿宋_GB2312"/>
          <w:highlight w:val="none"/>
        </w:rPr>
      </w:pPr>
      <w:bookmarkStart w:id="92" w:name="_Toc27428045"/>
      <w:bookmarkStart w:id="93" w:name="_Toc55111676"/>
      <w:bookmarkStart w:id="94" w:name="_Toc1433057863"/>
      <w:bookmarkStart w:id="95" w:name="_Toc57042942"/>
      <w:r>
        <w:rPr>
          <w:rFonts w:ascii="Times New Roman" w:hAnsi="Times New Roman" w:eastAsia="仿宋_GB2312"/>
          <w:highlight w:val="none"/>
        </w:rPr>
        <w:t xml:space="preserve"> 申诉抱怨机制</w:t>
      </w:r>
      <w:bookmarkEnd w:id="92"/>
      <w:bookmarkEnd w:id="93"/>
      <w:bookmarkEnd w:id="94"/>
      <w:bookmarkEnd w:id="95"/>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针对利益相关者提出的相关意见与建议，无论是问卷还是访谈得来的建议，</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及项目专家组均会记录在案，并在项目活动和产出中予以考虑。</w:t>
      </w:r>
    </w:p>
    <w:p>
      <w:pPr>
        <w:snapToGrid w:val="0"/>
        <w:spacing w:line="360" w:lineRule="auto"/>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将通过以下方式与市民就项目研究内容、潜在的环境及社会影响进行互动，接受公众的监督。</w:t>
      </w:r>
    </w:p>
    <w:p>
      <w:pPr>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联系方式：0532-85652039，0532-85631639。</w:t>
      </w:r>
    </w:p>
    <w:p>
      <w:pPr>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网站：https://www.cahec.cn</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在项目层面，</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及项目专家组将在项目</w:t>
      </w:r>
      <w:r>
        <w:rPr>
          <w:rFonts w:hint="eastAsia" w:ascii="Times New Roman" w:hAnsi="Times New Roman" w:eastAsia="仿宋_GB2312"/>
          <w:sz w:val="32"/>
          <w:szCs w:val="32"/>
          <w:highlight w:val="none"/>
        </w:rPr>
        <w:t>全</w:t>
      </w:r>
      <w:r>
        <w:rPr>
          <w:rFonts w:ascii="Times New Roman" w:hAnsi="Times New Roman" w:eastAsia="仿宋_GB2312"/>
          <w:sz w:val="32"/>
          <w:szCs w:val="32"/>
          <w:highlight w:val="none"/>
        </w:rPr>
        <w:t>周期内设立抱怨申诉机制，接受利益相关方的意见反馈和监督。抱怨申诉机制可以包括以下内容：</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（1）利益相关方可以用不同的方式提交申诉，包括亲自提交、手机、电子邮件或网站等；</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（2）书面记录申诉的日志，并作为数据库来维护；</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（3）公开的程序，列明利益相关方等待申诉认可、得到反馈和解决的时间；</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（4）申诉程序、治理结构和决策者的透明性；</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（5）在无法促成申诉解决时的上诉程序。</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为确保项目工人的合法权益，项目办及项目专家组也将按照世行环境和社会标准2（ESS2）的要求建立员工抱怨申诉机制。员工抱怨申诉机制的程序必须遵循以下原则：</w:t>
      </w:r>
    </w:p>
    <w:p>
      <w:pPr>
        <w:snapToGrid w:val="0"/>
        <w:spacing w:line="360" w:lineRule="auto"/>
        <w:ind w:left="640"/>
        <w:rPr>
          <w:rFonts w:ascii="Times New Roman" w:hAnsi="Times New Roman" w:eastAsia="仿宋_GB2312"/>
          <w:sz w:val="32"/>
          <w:szCs w:val="32"/>
          <w:highlight w:val="none"/>
        </w:rPr>
      </w:pPr>
      <w:r>
        <w:rPr>
          <w:rFonts w:ascii="Times New Roman" w:hAnsi="Times New Roman" w:eastAsia="仿宋_GB2312"/>
          <w:sz w:val="32"/>
          <w:szCs w:val="32"/>
          <w:highlight w:val="none"/>
        </w:rPr>
        <w:t>（1）容易理解且透明的</w:t>
      </w:r>
    </w:p>
    <w:p>
      <w:pPr>
        <w:snapToGrid w:val="0"/>
        <w:spacing w:line="360" w:lineRule="auto"/>
        <w:ind w:left="640"/>
        <w:rPr>
          <w:rFonts w:ascii="Times New Roman" w:hAnsi="Times New Roman" w:eastAsia="仿宋_GB2312"/>
          <w:sz w:val="32"/>
          <w:szCs w:val="32"/>
          <w:highlight w:val="none"/>
        </w:rPr>
      </w:pPr>
      <w:r>
        <w:rPr>
          <w:rFonts w:ascii="Times New Roman" w:hAnsi="Times New Roman" w:eastAsia="仿宋_GB2312"/>
          <w:sz w:val="32"/>
          <w:szCs w:val="32"/>
          <w:highlight w:val="none"/>
        </w:rPr>
        <w:t>（2）以员工理解的语言进行及时的反馈</w:t>
      </w:r>
    </w:p>
    <w:p>
      <w:pPr>
        <w:snapToGrid w:val="0"/>
        <w:spacing w:line="360" w:lineRule="auto"/>
        <w:ind w:left="640"/>
        <w:rPr>
          <w:rFonts w:ascii="Times New Roman" w:hAnsi="Times New Roman" w:eastAsia="仿宋_GB2312"/>
          <w:sz w:val="32"/>
          <w:szCs w:val="32"/>
          <w:highlight w:val="none"/>
        </w:rPr>
      </w:pPr>
      <w:r>
        <w:rPr>
          <w:rFonts w:ascii="Times New Roman" w:hAnsi="Times New Roman" w:eastAsia="仿宋_GB2312"/>
          <w:sz w:val="32"/>
          <w:szCs w:val="32"/>
          <w:highlight w:val="none"/>
        </w:rPr>
        <w:t>（3）按独立客观的方式执行</w:t>
      </w:r>
    </w:p>
    <w:p>
      <w:pPr>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项目员工抱怨申诉机制不会妨碍工作人员通过其他司法或行政途径需求补救措施；如工作人员可以通过青岛市人力资源与社会保障局在其官方网站（http://hrss.qingdao.gov.cn/）公布的青岛市和各区劳动保障监察机构的投诉电话就工资待遇、工作条件等劳动方面的问题进行申诉。</w:t>
      </w:r>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项目办将安排专职人员负责项目收到的抱怨申诉及处理情况，并进行记录和整理。所有的抱怨申诉及其处理结果将纳入项目环境和社会绩效报告，定期向世行报告。</w:t>
      </w:r>
    </w:p>
    <w:p>
      <w:pPr>
        <w:pStyle w:val="3"/>
        <w:numPr>
          <w:ilvl w:val="0"/>
          <w:numId w:val="2"/>
        </w:numPr>
        <w:snapToGrid w:val="0"/>
        <w:spacing w:before="0" w:after="0"/>
        <w:ind w:left="0" w:firstLine="0"/>
        <w:rPr>
          <w:rFonts w:ascii="Times New Roman" w:hAnsi="Times New Roman" w:eastAsia="黑体"/>
          <w:b w:val="0"/>
          <w:bCs w:val="0"/>
          <w:sz w:val="32"/>
          <w:szCs w:val="32"/>
          <w:highlight w:val="none"/>
        </w:rPr>
      </w:pPr>
      <w:bookmarkStart w:id="96" w:name="_Toc770242653"/>
      <w:r>
        <w:rPr>
          <w:rFonts w:ascii="Times New Roman" w:hAnsi="Times New Roman" w:eastAsia="黑体"/>
          <w:b w:val="0"/>
          <w:bCs w:val="0"/>
          <w:sz w:val="32"/>
          <w:szCs w:val="32"/>
          <w:highlight w:val="none"/>
        </w:rPr>
        <w:t>机构安排及职责</w:t>
      </w:r>
      <w:bookmarkEnd w:id="96"/>
    </w:p>
    <w:p>
      <w:pPr>
        <w:snapToGrid w:val="0"/>
        <w:spacing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项目的环境与社会管理工作的组织构架如图7-1所示。</w:t>
      </w:r>
    </w:p>
    <w:p>
      <w:pPr>
        <w:widowControl/>
        <w:jc w:val="left"/>
        <w:rPr>
          <w:rFonts w:ascii="Times New Roman" w:hAnsi="Times New Roman" w:eastAsia="微软雅黑 Light"/>
          <w:sz w:val="24"/>
          <w:szCs w:val="24"/>
          <w:highlight w:val="none"/>
        </w:rPr>
      </w:pPr>
      <w:r>
        <w:rPr>
          <w:rFonts w:ascii="Times New Roman" w:hAnsi="Times New Roman" w:eastAsia="微软雅黑 Light"/>
          <w:sz w:val="24"/>
          <w:szCs w:val="24"/>
          <w:highlight w:val="none"/>
        </w:rPr>
        <w:br w:type="page"/>
      </w:r>
    </w:p>
    <w:p>
      <w:pPr>
        <w:snapToGrid w:val="0"/>
        <w:spacing w:line="520" w:lineRule="exact"/>
        <w:rPr>
          <w:rFonts w:ascii="Times New Roman" w:hAnsi="Times New Roman" w:eastAsia="微软雅黑 Light"/>
          <w:sz w:val="24"/>
          <w:szCs w:val="24"/>
          <w:highlight w:val="none"/>
        </w:rPr>
      </w:pPr>
      <w:r>
        <w:rPr>
          <w:rFonts w:ascii="Times New Roman" w:hAnsi="Times New Roman" w:eastAsia="微软雅黑 Light"/>
          <w:sz w:val="24"/>
          <w:szCs w:val="24"/>
          <w:highlight w:val="none"/>
        </w:rPr>
        <w:pict>
          <v:roundrect id="矩形: 圆角 89" o:spid="_x0000_s2057" o:spt="2" style="position:absolute;left:0pt;margin-left:106.6pt;margin-top:11.25pt;height:29.75pt;width:132.25pt;z-index:251665408;v-text-anchor:middle;mso-width-relative:page;mso-height-relative:page;" fillcolor="#B5D5A7" filled="t" stroked="t" coordsize="21600,21600" arcsize="0.166666666666667" o:gfxdata="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KB7nMTYAAAACQEAAA8AAAAAAAAAAQAgAAAAOAAAAGRycy9kb3ducmV2LnhtbFBL&#10;AQIUABQAAAAIAIdO4kCHHaV9iwIAAGAFAAAOAAAAAAAAAAEAIAAAAD0BAABkcnMvZTJvRG9jLnht&#10;bFBLBQYAAAAABgAGAFkBAAA6BgAAAAA=&#10;">
            <v:path/>
            <v:fill type="gradient" on="t" color2="#9CCA86" colors="0f #B5D5A7;32768f #AACE99;65536f #9CCA86" focus="100%" focussize="0f,0f" rotate="t">
              <o:fill type="gradientUnscaled" v:ext="backwardCompatible"/>
            </v:fill>
            <v:stroke weight="0.5pt" color="#70AD47" joinstyle="miter"/>
            <v:imagedata o:title=""/>
            <o:lock v:ext="edit"/>
            <v:textbox>
              <w:txbxContent>
                <w:p>
                  <w:pPr>
                    <w:spacing w:line="340" w:lineRule="exact"/>
                    <w:jc w:val="center"/>
                    <w:rPr>
                      <w:rFonts w:eastAsia="微软雅黑 Light"/>
                      <w:szCs w:val="21"/>
                    </w:rPr>
                  </w:pPr>
                  <w:r>
                    <w:rPr>
                      <w:rFonts w:hint="eastAsia" w:ascii="仿宋" w:hAnsi="仿宋" w:eastAsia="微软雅黑 Light" w:cs="Adobe 仿宋 Std R"/>
                      <w:szCs w:val="21"/>
                    </w:rPr>
                    <w:t>世界银行</w:t>
                  </w:r>
                </w:p>
              </w:txbxContent>
            </v:textbox>
          </v:roundrect>
        </w:pict>
      </w:r>
    </w:p>
    <w:p>
      <w:pPr>
        <w:snapToGrid w:val="0"/>
        <w:spacing w:line="520" w:lineRule="exact"/>
        <w:rPr>
          <w:rFonts w:ascii="Times New Roman" w:hAnsi="Times New Roman" w:eastAsia="微软雅黑 Light"/>
          <w:sz w:val="24"/>
          <w:szCs w:val="24"/>
          <w:highlight w:val="none"/>
        </w:rPr>
      </w:pPr>
      <w:r>
        <w:rPr>
          <w:rFonts w:ascii="Times New Roman" w:hAnsi="Times New Roman" w:eastAsia="微软雅黑 Light"/>
          <w:sz w:val="24"/>
          <w:szCs w:val="24"/>
          <w:highlight w:val="none"/>
        </w:rPr>
        <w:pict>
          <v:shape id="自选图形 58" o:spid="_x0000_s2056" o:spt="32" type="#_x0000_t32" style="position:absolute;left:0pt;margin-left:172.25pt;margin-top:7.9pt;height:28.55pt;width:0.25pt;z-index:251667456;mso-width-relative:page;mso-height-relative:page;" filled="f" stroked="t" coordsize="21600,21600" o:gfxdata="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p/Zc9kAAAAJAQAADwAAAAAAAAABACAAAAA4AAAAZHJz&#10;L2Rvd25yZXYueG1sUEsBAhQAFAAAAAgAh07iQJnXWjHtAQAApwMAAA4AAAAAAAAAAQAgAAAAPgEA&#10;AGRycy9lMm9Eb2MueG1sUEsFBgAAAAAGAAYAWQEAAJ0FAAAAAA==&#10;">
            <v:path arrowok="t"/>
            <v:fill on="f" focussize="0,0"/>
            <v:stroke weight="0.5pt" color="#4472C4" joinstyle="miter" endarrow="block"/>
            <v:imagedata o:title=""/>
            <o:lock v:ext="edit"/>
          </v:shape>
        </w:pict>
      </w:r>
    </w:p>
    <w:p>
      <w:pPr>
        <w:snapToGrid w:val="0"/>
        <w:spacing w:line="520" w:lineRule="exact"/>
        <w:rPr>
          <w:rFonts w:ascii="Times New Roman" w:hAnsi="Times New Roman" w:eastAsia="微软雅黑 Light"/>
          <w:sz w:val="24"/>
          <w:szCs w:val="24"/>
          <w:highlight w:val="none"/>
        </w:rPr>
      </w:pPr>
      <w:r>
        <w:rPr>
          <w:rFonts w:ascii="Times New Roman" w:hAnsi="Times New Roman"/>
          <w:highlight w:val="none"/>
        </w:rPr>
        <w:pict>
          <v:roundrect id="自选图形 63" o:spid="_x0000_s2055" o:spt="2" style="position:absolute;left:0pt;margin-left:79.45pt;margin-top:4.5pt;height:29.75pt;width:188.75pt;z-index:251668480;v-text-anchor:middle;mso-width-relative:page;mso-height-relative:page;" fillcolor="#B5D5A7" filled="t" stroked="t" coordsize="21600,21600" arcsize="0.166666666666667" o:gfxdata="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JGxDazaAAAACQEAAA8AAAAAAAAAAQAgAAAAOAAAAGRycy9kb3ducmV2LnhtbFBL&#10;AQIUABQAAAAIAIdO4kCTky0OiQIAAF4FAAAOAAAAAAAAAAEAIAAAAD8BAABkcnMvZTJvRG9jLnht&#10;bFBLBQYAAAAABgAGAFkBAAA6BgAAAAA=&#10;">
            <v:path/>
            <v:fill type="gradient" on="t" color2="#9CCA86" colors="0f #B5D5A7;32768f #AACE99;65536f #9CCA86" focus="100%" focussize="0f,0f" rotate="t">
              <o:fill type="gradientUnscaled" v:ext="backwardCompatible"/>
            </v:fill>
            <v:stroke weight="0.5pt" color="#70AD47" joinstyle="miter"/>
            <v:imagedata o:title=""/>
            <o:lock v:ext="edit"/>
            <v:textbox>
              <w:txbxContent>
                <w:p>
                  <w:pPr>
                    <w:spacing w:line="240" w:lineRule="exact"/>
                    <w:rPr>
                      <w:rFonts w:ascii="仿宋" w:hAnsi="仿宋" w:eastAsia="微软雅黑 Light" w:cs="Adobe 仿宋 Std R"/>
                      <w:szCs w:val="21"/>
                    </w:rPr>
                  </w:pPr>
                  <w:r>
                    <w:rPr>
                      <w:rFonts w:hint="eastAsia" w:ascii="仿宋" w:hAnsi="仿宋" w:eastAsia="微软雅黑 Light" w:cs="Adobe 仿宋 Std R"/>
                      <w:szCs w:val="21"/>
                    </w:rPr>
                    <w:t>农业农村部畜牧兽医局、计划财务司</w:t>
                  </w:r>
                </w:p>
              </w:txbxContent>
            </v:textbox>
          </v:roundrect>
        </w:pict>
      </w:r>
    </w:p>
    <w:p>
      <w:pPr>
        <w:pStyle w:val="40"/>
        <w:ind w:firstLine="0" w:firstLineChars="0"/>
        <w:rPr>
          <w:rFonts w:ascii="Times New Roman" w:hAnsi="Times New Roman"/>
          <w:highlight w:val="none"/>
        </w:rPr>
      </w:pPr>
      <w:r>
        <w:rPr>
          <w:rFonts w:ascii="Times New Roman" w:hAnsi="Times New Roman" w:eastAsia="微软雅黑 Light"/>
          <w:sz w:val="24"/>
          <w:szCs w:val="24"/>
          <w:highlight w:val="none"/>
        </w:rPr>
        <w:pict>
          <v:line id="直线 19" o:spid="_x0000_s2052" o:spt="20" style="position:absolute;left:0pt;flip:x;margin-left:173.65pt;margin-top:24.7pt;height:0.25pt;width:173.1pt;z-index:251660288;mso-width-relative:page;mso-height-relative:page;" stroked="t" coordsize="21600,21600">
            <v:path arrowok="t"/>
            <v:fill focussize="0,0"/>
            <v:stroke weight="0.5pt" color="#4472C4" joinstyle="miter"/>
            <v:imagedata o:title=""/>
            <o:lock v:ext="edit"/>
          </v:line>
        </w:pict>
      </w:r>
      <w:r>
        <w:rPr>
          <w:rFonts w:ascii="Times New Roman" w:hAnsi="Times New Roman" w:eastAsia="微软雅黑 Light"/>
          <w:sz w:val="24"/>
          <w:szCs w:val="24"/>
          <w:highlight w:val="none"/>
        </w:rPr>
        <w:pict>
          <v:shape id="自选图形 41" o:spid="_x0000_s2053" o:spt="32" type="#_x0000_t32" style="position:absolute;left:0pt;flip:x;margin-left:346.75pt;margin-top:24.65pt;height:37pt;width:0.3pt;z-index:251662336;mso-width-relative:page;mso-height-relative:page;" filled="f" stroked="t" coordsize="21600,21600">
            <v:path arrowok="t"/>
            <v:fill on="f" focussize="0,0"/>
            <v:stroke weight="0.5pt" color="#4472C4" joinstyle="miter" endarrow="block"/>
            <v:imagedata o:title=""/>
            <o:lock v:ext="edit"/>
          </v:shape>
        </w:pict>
      </w:r>
      <w:r>
        <w:rPr>
          <w:rFonts w:ascii="Times New Roman" w:hAnsi="Times New Roman" w:eastAsia="微软雅黑 Light"/>
          <w:sz w:val="24"/>
          <w:szCs w:val="24"/>
          <w:highlight w:val="none"/>
        </w:rPr>
        <w:pict>
          <v:shape id="自选图形 2" o:spid="_x0000_s2054" o:spt="32" type="#_x0000_t32" style="position:absolute;left:0pt;flip:x;margin-left:173.45pt;margin-top:1.05pt;height:51.3pt;width:0.3pt;z-index:251669504;mso-width-relative:page;mso-height-relative:page;" filled="f" stroked="t" coordsize="21600,21600">
            <v:path arrowok="t"/>
            <v:fill on="f" focussize="0,0"/>
            <v:stroke weight="0.5pt" color="#4472C4" joinstyle="miter" endarrow="block"/>
            <v:imagedata o:title=""/>
            <o:lock v:ext="edit"/>
          </v:shape>
        </w:pict>
      </w:r>
    </w:p>
    <w:p>
      <w:pPr>
        <w:snapToGrid w:val="0"/>
        <w:spacing w:line="520" w:lineRule="exact"/>
        <w:rPr>
          <w:rFonts w:ascii="Times New Roman" w:hAnsi="Times New Roman" w:eastAsia="微软雅黑 Light"/>
          <w:sz w:val="24"/>
          <w:szCs w:val="24"/>
          <w:highlight w:val="none"/>
        </w:rPr>
      </w:pPr>
      <w:r>
        <w:rPr>
          <w:rFonts w:ascii="Times New Roman" w:hAnsi="Times New Roman" w:eastAsia="微软雅黑 Light"/>
          <w:sz w:val="24"/>
          <w:szCs w:val="24"/>
          <w:highlight w:val="none"/>
        </w:rPr>
        <w:pict>
          <v:roundrect id="矩形: 圆角 87" o:spid="_x0000_s2051" o:spt="2" style="position:absolute;left:0pt;margin-left:77.2pt;margin-top:29.6pt;height:49.65pt;width:194.7pt;z-index:251666432;v-text-anchor:middle;mso-width-relative:page;mso-height-relative:page;" fillcolor="#F7BDA4" filled="t" stroked="t" coordsize="21600,21600" arcsize="0.166666666666667" o:gfxdata="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AQEPUn2wAAAAkBAAAPAAAAAAAAAAEA&#10;IAAAADgAAABkcnMvZG93bnJldi54bWxQSwECFAAUAAAACACHTuJAttvYd6ECAACUBQAADgAAAAAA&#10;AAABACAAAABAAQAAZHJzL2Uyb0RvYy54bWxQSwUGAAAAAAYABgBZAQAAUwYAAAAA&#10;">
            <v:path/>
            <v:fill type="gradient" on="t" color2="#F8A581" colors="0f #F7BDA4;32768f #F5B195;65536f #F8A581" focus="100%" focussize="0f,0f" rotate="t">
              <o:fill type="gradientUnscaled" v:ext="backwardCompatible"/>
            </v:fill>
            <v:stroke weight="0.5pt" color="#ED7D31" joinstyle="miter"/>
            <v:imagedata o:title=""/>
            <o:lock v:ext="edit"/>
            <v:textbox inset="1.5mm,1mm,1.5mm,1mm">
              <w:txbxContent>
                <w:p>
                  <w:pPr>
                    <w:spacing w:after="0" w:line="340" w:lineRule="exact"/>
                    <w:jc w:val="center"/>
                    <w:rPr>
                      <w:rFonts w:ascii="仿宋" w:hAnsi="仿宋" w:eastAsia="微软雅黑 Light"/>
                      <w:szCs w:val="21"/>
                    </w:rPr>
                  </w:pPr>
                  <w:r>
                    <w:rPr>
                      <w:rFonts w:hint="eastAsia" w:ascii="仿宋" w:hAnsi="仿宋" w:eastAsia="微软雅黑 Light"/>
                      <w:szCs w:val="21"/>
                    </w:rPr>
                    <w:t>中国动物卫生与流行病学中心（CAHEC)</w:t>
                  </w:r>
                </w:p>
                <w:p>
                  <w:pPr>
                    <w:spacing w:after="0" w:line="340" w:lineRule="exact"/>
                    <w:jc w:val="center"/>
                    <w:rPr>
                      <w:rFonts w:ascii="仿宋" w:hAnsi="仿宋" w:eastAsia="微软雅黑 Light" w:cs="Adobe 仿宋 Std R"/>
                      <w:sz w:val="15"/>
                      <w:szCs w:val="15"/>
                    </w:rPr>
                  </w:pPr>
                  <w:r>
                    <w:rPr>
                      <w:rFonts w:hint="eastAsia" w:ascii="仿宋" w:hAnsi="仿宋" w:eastAsia="微软雅黑 Light"/>
                      <w:szCs w:val="21"/>
                    </w:rPr>
                    <w:t>项目管理办公室（</w:t>
                  </w:r>
                  <w:r>
                    <w:rPr>
                      <w:rFonts w:ascii="Times New Roman" w:hAnsi="Times New Roman" w:eastAsia="微软雅黑 Light"/>
                      <w:szCs w:val="21"/>
                    </w:rPr>
                    <w:t>PMO</w:t>
                  </w:r>
                  <w:r>
                    <w:rPr>
                      <w:rFonts w:ascii="仿宋" w:hAnsi="仿宋" w:eastAsia="微软雅黑 Light" w:cs="Adobe 仿宋 Std R"/>
                      <w:sz w:val="18"/>
                      <w:szCs w:val="18"/>
                    </w:rPr>
                    <w:t>）</w:t>
                  </w:r>
                </w:p>
                <w:p>
                  <w:pPr>
                    <w:spacing w:line="340" w:lineRule="exact"/>
                    <w:jc w:val="center"/>
                    <w:rPr>
                      <w:rFonts w:eastAsia="微软雅黑 Light"/>
                      <w:szCs w:val="21"/>
                    </w:rPr>
                  </w:pPr>
                </w:p>
              </w:txbxContent>
            </v:textbox>
          </v:roundrect>
        </w:pict>
      </w:r>
    </w:p>
    <w:p>
      <w:pPr>
        <w:snapToGrid w:val="0"/>
        <w:spacing w:line="520" w:lineRule="exact"/>
        <w:rPr>
          <w:rFonts w:ascii="Times New Roman" w:hAnsi="Times New Roman" w:eastAsia="微软雅黑 Light"/>
          <w:sz w:val="24"/>
          <w:szCs w:val="24"/>
          <w:highlight w:val="none"/>
        </w:rPr>
      </w:pPr>
      <w:r>
        <w:rPr>
          <w:rFonts w:ascii="Times New Roman" w:hAnsi="Times New Roman" w:eastAsia="微软雅黑 Light"/>
          <w:sz w:val="24"/>
          <w:szCs w:val="24"/>
          <w:highlight w:val="none"/>
        </w:rPr>
        <w:pict>
          <v:roundrect id="矩形: 圆角 53" o:spid="_x0000_s2050" o:spt="2" style="position:absolute;left:0pt;margin-left:297.25pt;margin-top:3.1pt;height:30.1pt;width:98.05pt;z-index:251661312;v-text-anchor:middle;mso-width-relative:page;mso-height-relative:page;" fillcolor="#D2D2D2" filled="t" stroked="t" coordsize="21600,21600" arcsize="0.166666666666667" o:gfxdata="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MNFCtdgAAAAIAQAADwAAAAAAAAABACAAAAA4AAAAZHJz&#10;L2Rvd25yZXYueG1sUEsBAhQAFAAAAAgAh07iQLxTfQaZAgAAkwUAAA4AAAAAAAAAAQAgAAAAPQEA&#10;AGRycy9lMm9Eb2MueG1sUEsFBgAAAAAGAAYAWQEAAEgGAAAAAA==&#10;">
            <v:path/>
            <v:fill type="gradient" on="t" color2="#C0C0C0" colors="0f #D2D2D2;32768f #C8C8C8;65536f #C0C0C0" focus="100%" focussize="0f,0f" rotate="t">
              <o:fill type="gradientUnscaled" v:ext="backwardCompatible"/>
            </v:fill>
            <v:stroke weight="0.5pt" color="#A5A5A5" joinstyle="miter"/>
            <v:imagedata o:title=""/>
            <o:lock v:ext="edit"/>
            <v:textbox inset="1.5mm,1mm,1.5mm,1mm">
              <w:txbxContent>
                <w:p>
                  <w:pPr>
                    <w:spacing w:line="340" w:lineRule="exact"/>
                    <w:jc w:val="center"/>
                    <w:rPr>
                      <w:rFonts w:eastAsia="微软雅黑 Light"/>
                      <w:szCs w:val="21"/>
                    </w:rPr>
                  </w:pPr>
                  <w:r>
                    <w:rPr>
                      <w:rFonts w:hint="eastAsia" w:eastAsia="微软雅黑 Light"/>
                      <w:szCs w:val="21"/>
                    </w:rPr>
                    <w:t>项目专家组</w:t>
                  </w:r>
                </w:p>
              </w:txbxContent>
            </v:textbox>
          </v:roundrect>
        </w:pict>
      </w:r>
    </w:p>
    <w:p>
      <w:pPr>
        <w:snapToGrid w:val="0"/>
        <w:spacing w:line="520" w:lineRule="exact"/>
        <w:rPr>
          <w:rFonts w:ascii="Times New Roman" w:hAnsi="Times New Roman" w:eastAsia="微软雅黑 Light"/>
          <w:sz w:val="24"/>
          <w:szCs w:val="24"/>
          <w:highlight w:val="none"/>
        </w:rPr>
      </w:pPr>
    </w:p>
    <w:p>
      <w:pPr>
        <w:snapToGrid w:val="0"/>
        <w:spacing w:line="52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图</w:t>
      </w:r>
      <w:r>
        <w:rPr>
          <w:rFonts w:ascii="Times New Roman" w:hAnsi="Times New Roman" w:eastAsia="黑体"/>
          <w:bCs/>
          <w:sz w:val="24"/>
          <w:szCs w:val="24"/>
          <w:highlight w:val="none"/>
        </w:rPr>
        <w:fldChar w:fldCharType="begin"/>
      </w:r>
      <w:r>
        <w:rPr>
          <w:rFonts w:ascii="Times New Roman" w:hAnsi="Times New Roman" w:eastAsia="黑体"/>
          <w:bCs/>
          <w:sz w:val="24"/>
          <w:szCs w:val="24"/>
          <w:highlight w:val="none"/>
        </w:rPr>
        <w:instrText xml:space="preserve"> STYLEREF 1 \s </w:instrText>
      </w:r>
      <w:r>
        <w:rPr>
          <w:rFonts w:ascii="Times New Roman" w:hAnsi="Times New Roman" w:eastAsia="黑体"/>
          <w:bCs/>
          <w:sz w:val="24"/>
          <w:szCs w:val="24"/>
          <w:highlight w:val="none"/>
        </w:rPr>
        <w:fldChar w:fldCharType="separate"/>
      </w:r>
      <w:r>
        <w:rPr>
          <w:rFonts w:ascii="Times New Roman" w:hAnsi="Times New Roman" w:eastAsia="黑体"/>
          <w:bCs/>
          <w:sz w:val="24"/>
          <w:szCs w:val="24"/>
          <w:highlight w:val="none"/>
        </w:rPr>
        <w:t>7</w:t>
      </w:r>
      <w:r>
        <w:rPr>
          <w:rFonts w:ascii="Times New Roman" w:hAnsi="Times New Roman" w:eastAsia="黑体"/>
          <w:bCs/>
          <w:sz w:val="24"/>
          <w:szCs w:val="24"/>
          <w:highlight w:val="none"/>
        </w:rPr>
        <w:fldChar w:fldCharType="end"/>
      </w:r>
      <w:r>
        <w:rPr>
          <w:rFonts w:ascii="Times New Roman" w:hAnsi="Times New Roman" w:eastAsia="黑体"/>
          <w:bCs/>
          <w:sz w:val="24"/>
          <w:szCs w:val="24"/>
          <w:highlight w:val="none"/>
        </w:rPr>
        <w:t>-</w:t>
      </w:r>
      <w:r>
        <w:rPr>
          <w:rFonts w:ascii="Times New Roman" w:hAnsi="Times New Roman" w:eastAsia="黑体"/>
          <w:bCs/>
          <w:sz w:val="24"/>
          <w:szCs w:val="24"/>
          <w:highlight w:val="none"/>
        </w:rPr>
        <w:fldChar w:fldCharType="begin"/>
      </w:r>
      <w:r>
        <w:rPr>
          <w:rFonts w:ascii="Times New Roman" w:hAnsi="Times New Roman" w:eastAsia="黑体"/>
          <w:bCs/>
          <w:sz w:val="24"/>
          <w:szCs w:val="24"/>
          <w:highlight w:val="none"/>
        </w:rPr>
        <w:instrText xml:space="preserve"> SEQ 图 \* ARABIC \s 1 </w:instrText>
      </w:r>
      <w:r>
        <w:rPr>
          <w:rFonts w:ascii="Times New Roman" w:hAnsi="Times New Roman" w:eastAsia="黑体"/>
          <w:bCs/>
          <w:sz w:val="24"/>
          <w:szCs w:val="24"/>
          <w:highlight w:val="none"/>
        </w:rPr>
        <w:fldChar w:fldCharType="separate"/>
      </w:r>
      <w:r>
        <w:rPr>
          <w:rFonts w:ascii="Times New Roman" w:hAnsi="Times New Roman" w:eastAsia="黑体"/>
          <w:bCs/>
          <w:sz w:val="24"/>
          <w:szCs w:val="24"/>
          <w:highlight w:val="none"/>
        </w:rPr>
        <w:t>1</w:t>
      </w:r>
      <w:r>
        <w:rPr>
          <w:rFonts w:ascii="Times New Roman" w:hAnsi="Times New Roman" w:eastAsia="黑体"/>
          <w:bCs/>
          <w:sz w:val="24"/>
          <w:szCs w:val="24"/>
          <w:highlight w:val="none"/>
        </w:rPr>
        <w:fldChar w:fldCharType="end"/>
      </w:r>
      <w:bookmarkStart w:id="97" w:name="_Toc19141"/>
      <w:r>
        <w:rPr>
          <w:rFonts w:ascii="Times New Roman" w:hAnsi="Times New Roman" w:eastAsia="黑体"/>
          <w:bCs/>
          <w:sz w:val="24"/>
          <w:szCs w:val="24"/>
          <w:highlight w:val="none"/>
        </w:rPr>
        <w:t xml:space="preserve"> 环境和社会管理组织架构图</w:t>
      </w:r>
      <w:bookmarkEnd w:id="97"/>
    </w:p>
    <w:p>
      <w:pPr>
        <w:widowControl/>
        <w:adjustRightInd w:val="0"/>
        <w:snapToGrid w:val="0"/>
        <w:spacing w:before="487" w:beforeLines="150" w:line="360" w:lineRule="auto"/>
        <w:ind w:firstLine="643" w:firstLineChars="200"/>
        <w:jc w:val="left"/>
        <w:rPr>
          <w:rFonts w:ascii="Times New Roman" w:hAnsi="Times New Roman" w:eastAsia="仿宋_GB2312"/>
          <w:b/>
          <w:bCs/>
          <w:sz w:val="32"/>
          <w:szCs w:val="32"/>
          <w:highlight w:val="none"/>
        </w:rPr>
      </w:pPr>
      <w:r>
        <w:rPr>
          <w:rFonts w:ascii="Times New Roman" w:hAnsi="Times New Roman" w:eastAsia="仿宋_GB2312"/>
          <w:b/>
          <w:bCs/>
          <w:sz w:val="32"/>
          <w:szCs w:val="32"/>
          <w:highlight w:val="none"/>
        </w:rPr>
        <w:t>（1）</w:t>
      </w:r>
      <w:r>
        <w:rPr>
          <w:rFonts w:hint="eastAsia" w:ascii="Times New Roman" w:hAnsi="Times New Roman" w:eastAsia="仿宋_GB2312"/>
          <w:b/>
          <w:bCs/>
          <w:sz w:val="32"/>
          <w:szCs w:val="32"/>
          <w:highlight w:val="none"/>
        </w:rPr>
        <w:t>项目管理办公室</w:t>
      </w:r>
    </w:p>
    <w:p>
      <w:pPr>
        <w:pStyle w:val="83"/>
        <w:adjustRightInd w:val="0"/>
        <w:snapToGrid w:val="0"/>
        <w:spacing w:line="360" w:lineRule="auto"/>
        <w:ind w:firstLine="64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设项目办主任、副主任及项目组成员，负责项目总体协调、编制报告、实施、管理和监测评估工作。</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负责指定项目账户，组织项目采购、签订采购合同，负责财务管理、环境与社会管理、安全保障事项以及项目的监测评估，负责编制年度工作计划、采购计划和财务报告，组织培训和研讨会，协调、安排世界银行的督导检查等。</w:t>
      </w:r>
    </w:p>
    <w:p>
      <w:pPr>
        <w:widowControl/>
        <w:adjustRightInd w:val="0"/>
        <w:snapToGrid w:val="0"/>
        <w:spacing w:line="360" w:lineRule="auto"/>
        <w:ind w:firstLine="643" w:firstLineChars="200"/>
        <w:jc w:val="left"/>
        <w:rPr>
          <w:rFonts w:ascii="Times New Roman" w:hAnsi="Times New Roman" w:eastAsia="仿宋_GB2312"/>
          <w:b/>
          <w:bCs/>
          <w:sz w:val="32"/>
          <w:szCs w:val="32"/>
          <w:highlight w:val="none"/>
        </w:rPr>
      </w:pPr>
      <w:r>
        <w:rPr>
          <w:rFonts w:ascii="Times New Roman" w:hAnsi="Times New Roman" w:eastAsia="仿宋_GB2312"/>
          <w:b/>
          <w:bCs/>
          <w:sz w:val="32"/>
          <w:szCs w:val="32"/>
          <w:highlight w:val="none"/>
        </w:rPr>
        <w:t>（2）项目专家组</w:t>
      </w:r>
    </w:p>
    <w:p>
      <w:pPr>
        <w:pStyle w:val="83"/>
        <w:adjustRightInd w:val="0"/>
        <w:snapToGrid w:val="0"/>
        <w:spacing w:line="360" w:lineRule="auto"/>
        <w:ind w:firstLine="64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项目专家组由动物疫病防控、畜牧技术推广、政策法规、国际合作、培训、招标采购、环境与社会管理、项目管理以及其他相关领域的专家组成，为项目实施提供全方位技术服务。</w:t>
      </w:r>
    </w:p>
    <w:p>
      <w:pPr>
        <w:pStyle w:val="3"/>
        <w:numPr>
          <w:ilvl w:val="0"/>
          <w:numId w:val="2"/>
        </w:numPr>
        <w:snapToGrid w:val="0"/>
        <w:spacing w:before="0" w:after="0"/>
        <w:ind w:left="0" w:firstLine="0"/>
        <w:rPr>
          <w:rFonts w:ascii="Times New Roman" w:hAnsi="Times New Roman" w:eastAsia="黑体"/>
          <w:b w:val="0"/>
          <w:bCs w:val="0"/>
          <w:sz w:val="32"/>
          <w:szCs w:val="32"/>
          <w:highlight w:val="none"/>
        </w:rPr>
      </w:pPr>
      <w:bookmarkStart w:id="98" w:name="_Toc1026353752"/>
      <w:r>
        <w:rPr>
          <w:rFonts w:ascii="Times New Roman" w:hAnsi="Times New Roman" w:eastAsia="黑体"/>
          <w:b w:val="0"/>
          <w:bCs w:val="0"/>
          <w:sz w:val="32"/>
          <w:szCs w:val="32"/>
          <w:highlight w:val="none"/>
        </w:rPr>
        <w:t>项目监测及报告</w:t>
      </w:r>
      <w:bookmarkEnd w:id="98"/>
    </w:p>
    <w:p>
      <w:pPr>
        <w:pStyle w:val="4"/>
        <w:snapToGrid w:val="0"/>
        <w:spacing w:before="0" w:after="0" w:line="360" w:lineRule="auto"/>
        <w:rPr>
          <w:rFonts w:ascii="Times New Roman" w:hAnsi="Times New Roman" w:eastAsia="楷体_GB2312"/>
          <w:bCs w:val="0"/>
          <w:highlight w:val="none"/>
        </w:rPr>
      </w:pPr>
      <w:bookmarkStart w:id="99" w:name="_Toc26705"/>
      <w:bookmarkStart w:id="100" w:name="_Toc649482104"/>
      <w:r>
        <w:rPr>
          <w:rFonts w:ascii="Times New Roman" w:hAnsi="Times New Roman" w:eastAsia="楷体_GB2312"/>
          <w:bCs w:val="0"/>
          <w:highlight w:val="none"/>
        </w:rPr>
        <w:t>8.1 项目实施监测</w:t>
      </w:r>
      <w:bookmarkEnd w:id="99"/>
      <w:bookmarkEnd w:id="100"/>
    </w:p>
    <w:p>
      <w:pPr>
        <w:widowControl/>
        <w:adjustRightInd w:val="0"/>
        <w:snapToGrid w:val="0"/>
        <w:spacing w:line="360" w:lineRule="auto"/>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负责监督整个项目实施过程中环境与社会表现。</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专职负责人员负责及时收集、整理与环境/社会管理相关的信息，定期跟踪各个项目活动实施状况，现场考察环境与社会绩效表现，发现问题并协调落实整改，确保相关环境与社会影响减缓措施在具体实施层面得到切实地贯彻和落实。</w:t>
      </w:r>
    </w:p>
    <w:p>
      <w:pPr>
        <w:pStyle w:val="4"/>
        <w:adjustRightInd w:val="0"/>
        <w:snapToGrid w:val="0"/>
        <w:spacing w:before="0" w:after="0" w:line="360" w:lineRule="auto"/>
        <w:rPr>
          <w:rFonts w:ascii="Times New Roman" w:hAnsi="Times New Roman" w:eastAsia="楷体_GB2312"/>
          <w:bCs w:val="0"/>
          <w:highlight w:val="none"/>
        </w:rPr>
      </w:pPr>
      <w:bookmarkStart w:id="101" w:name="_Toc11093"/>
      <w:bookmarkStart w:id="102" w:name="_Toc1189320122"/>
      <w:r>
        <w:rPr>
          <w:rFonts w:ascii="Times New Roman" w:hAnsi="Times New Roman" w:eastAsia="楷体_GB2312"/>
          <w:bCs w:val="0"/>
          <w:highlight w:val="none"/>
        </w:rPr>
        <w:t>8.2 报告制度</w:t>
      </w:r>
      <w:bookmarkEnd w:id="101"/>
      <w:bookmarkEnd w:id="102"/>
    </w:p>
    <w:p>
      <w:pPr>
        <w:widowControl/>
        <w:adjustRightInd w:val="0"/>
        <w:snapToGrid w:val="0"/>
        <w:spacing w:line="360" w:lineRule="auto"/>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定期编制项目环境与社会管理工作报告，检查环境与社会管理框架、环境和社会承诺计划、利益相关方参与计划的执行情况，做为项目实施进度半年度报告的一部分，报送世界银行。</w:t>
      </w:r>
    </w:p>
    <w:p>
      <w:pPr>
        <w:widowControl/>
        <w:snapToGrid w:val="0"/>
        <w:spacing w:line="360" w:lineRule="auto"/>
        <w:ind w:firstLine="640" w:firstLineChars="200"/>
        <w:jc w:val="left"/>
        <w:rPr>
          <w:rFonts w:ascii="Times New Roman" w:hAnsi="Times New Roman" w:eastAsia="宋体"/>
          <w:sz w:val="24"/>
          <w:szCs w:val="24"/>
          <w:highlight w:val="none"/>
        </w:rPr>
      </w:pPr>
      <w:r>
        <w:rPr>
          <w:rFonts w:ascii="Times New Roman" w:hAnsi="Times New Roman" w:eastAsia="仿宋_GB2312"/>
          <w:sz w:val="32"/>
          <w:szCs w:val="32"/>
          <w:highlight w:val="none"/>
        </w:rPr>
        <w:t>项目结束时，</w:t>
      </w:r>
      <w:r>
        <w:rPr>
          <w:rFonts w:hint="eastAsia" w:ascii="Times New Roman" w:hAnsi="Times New Roman" w:eastAsia="仿宋_GB2312"/>
          <w:sz w:val="32"/>
          <w:szCs w:val="32"/>
          <w:highlight w:val="none"/>
        </w:rPr>
        <w:t>项目管理办公室</w:t>
      </w:r>
      <w:r>
        <w:rPr>
          <w:rFonts w:ascii="Times New Roman" w:hAnsi="Times New Roman" w:eastAsia="仿宋_GB2312"/>
          <w:sz w:val="32"/>
          <w:szCs w:val="32"/>
          <w:highlight w:val="none"/>
        </w:rPr>
        <w:t>将准备一份详细的项目完工报告。完工报告中包括专门的环境与社会管理章节，总结项目实施全过程的环境与社会管理工作绩效表现，包括组织机构、措施落实、成果表现，以及发现的问题和经验教训总结。</w:t>
      </w:r>
    </w:p>
    <w:p>
      <w:pPr>
        <w:snapToGrid w:val="0"/>
        <w:spacing w:line="500" w:lineRule="exact"/>
        <w:rPr>
          <w:rFonts w:ascii="Times New Roman" w:hAnsi="Times New Roman" w:eastAsia="微软雅黑 Light"/>
          <w:sz w:val="24"/>
          <w:szCs w:val="24"/>
          <w:highlight w:val="none"/>
        </w:rPr>
      </w:pPr>
    </w:p>
    <w:p>
      <w:pPr>
        <w:widowControl/>
        <w:snapToGrid w:val="0"/>
        <w:spacing w:line="500" w:lineRule="exact"/>
        <w:jc w:val="left"/>
        <w:rPr>
          <w:rFonts w:ascii="Times New Roman" w:hAnsi="Times New Roman" w:eastAsia="微软雅黑 Light"/>
          <w:sz w:val="24"/>
          <w:szCs w:val="24"/>
          <w:highlight w:val="none"/>
        </w:rPr>
        <w:sectPr>
          <w:footerReference r:id="rId13" w:type="default"/>
          <w:pgSz w:w="11900" w:h="16838"/>
          <w:pgMar w:top="1440" w:right="1803" w:bottom="1440" w:left="1803" w:header="851" w:footer="992" w:gutter="0"/>
          <w:cols w:space="0" w:num="1"/>
          <w:docGrid w:type="lines" w:linePitch="325" w:charSpace="0"/>
        </w:sectPr>
      </w:pPr>
    </w:p>
    <w:p>
      <w:pPr>
        <w:pStyle w:val="3"/>
        <w:snapToGrid w:val="0"/>
        <w:spacing w:before="325" w:beforeLines="100" w:after="325" w:afterLines="100" w:line="240" w:lineRule="auto"/>
        <w:jc w:val="center"/>
        <w:rPr>
          <w:rFonts w:ascii="Times New Roman" w:hAnsi="Times New Roman" w:eastAsia="黑体"/>
          <w:b w:val="0"/>
          <w:highlight w:val="none"/>
        </w:rPr>
      </w:pPr>
      <w:bookmarkStart w:id="103" w:name="_Toc29925207"/>
      <w:bookmarkStart w:id="104" w:name="_Toc1440747334"/>
      <w:bookmarkStart w:id="105" w:name="_Toc49254469"/>
      <w:r>
        <w:rPr>
          <w:rFonts w:ascii="Times New Roman" w:hAnsi="Times New Roman" w:eastAsia="黑体"/>
          <w:b w:val="0"/>
          <w:highlight w:val="none"/>
        </w:rPr>
        <w:t>附 件</w:t>
      </w:r>
    </w:p>
    <w:p>
      <w:pPr>
        <w:widowControl/>
        <w:snapToGrid w:val="0"/>
        <w:spacing w:line="360" w:lineRule="auto"/>
        <w:jc w:val="left"/>
        <w:outlineLvl w:val="1"/>
        <w:rPr>
          <w:rFonts w:ascii="Times New Roman" w:hAnsi="Times New Roman" w:eastAsia="黑体"/>
          <w:sz w:val="32"/>
          <w:szCs w:val="32"/>
          <w:highlight w:val="none"/>
        </w:rPr>
      </w:pPr>
      <w:r>
        <w:rPr>
          <w:rFonts w:ascii="Times New Roman" w:hAnsi="Times New Roman" w:eastAsia="黑体"/>
          <w:sz w:val="32"/>
          <w:szCs w:val="32"/>
          <w:highlight w:val="none"/>
        </w:rPr>
        <w:t>附件</w:t>
      </w:r>
      <w:bookmarkEnd w:id="103"/>
      <w:bookmarkEnd w:id="104"/>
      <w:bookmarkEnd w:id="105"/>
      <w:r>
        <w:rPr>
          <w:rFonts w:ascii="Times New Roman" w:hAnsi="Times New Roman" w:eastAsia="黑体"/>
          <w:sz w:val="32"/>
          <w:szCs w:val="32"/>
          <w:highlight w:val="none"/>
        </w:rPr>
        <w:t>1</w:t>
      </w:r>
    </w:p>
    <w:p>
      <w:pPr>
        <w:pStyle w:val="4"/>
        <w:snapToGrid w:val="0"/>
        <w:spacing w:before="0" w:after="0" w:line="520" w:lineRule="exact"/>
        <w:jc w:val="center"/>
        <w:rPr>
          <w:rFonts w:ascii="Times New Roman" w:hAnsi="Times New Roman" w:eastAsia="方正小标宋简体"/>
          <w:sz w:val="36"/>
          <w:szCs w:val="36"/>
          <w:highlight w:val="none"/>
        </w:rPr>
      </w:pPr>
      <w:bookmarkStart w:id="106" w:name="_Toc1807088087"/>
      <w:r>
        <w:rPr>
          <w:rFonts w:ascii="Times New Roman" w:hAnsi="Times New Roman" w:eastAsia="方正小标宋简体"/>
          <w:sz w:val="36"/>
          <w:szCs w:val="36"/>
          <w:highlight w:val="none"/>
        </w:rPr>
        <w:t>环境和社会（E&amp;S）筛选表格</w:t>
      </w:r>
      <w:bookmarkEnd w:id="106"/>
    </w:p>
    <w:p>
      <w:pPr>
        <w:snapToGrid w:val="0"/>
        <w:spacing w:line="360" w:lineRule="auto"/>
        <w:ind w:firstLine="720" w:firstLineChars="200"/>
        <w:rPr>
          <w:rFonts w:ascii="Times New Roman" w:hAnsi="Times New Roman" w:eastAsia="宋体"/>
          <w:bCs/>
          <w:sz w:val="36"/>
          <w:szCs w:val="36"/>
          <w:highlight w:val="none"/>
        </w:rPr>
      </w:pPr>
    </w:p>
    <w:p>
      <w:pPr>
        <w:snapToGrid w:val="0"/>
        <w:spacing w:line="360" w:lineRule="auto"/>
        <w:ind w:firstLine="560" w:firstLineChars="200"/>
        <w:rPr>
          <w:rFonts w:ascii="Times New Roman" w:hAnsi="Times New Roman" w:eastAsia="仿宋_GB2312"/>
          <w:bCs/>
          <w:sz w:val="28"/>
          <w:szCs w:val="28"/>
          <w:highlight w:val="none"/>
        </w:rPr>
      </w:pPr>
      <w:r>
        <w:rPr>
          <w:rFonts w:ascii="Times New Roman" w:hAnsi="Times New Roman" w:eastAsia="仿宋_GB2312"/>
          <w:bCs/>
          <w:sz w:val="28"/>
          <w:szCs w:val="28"/>
          <w:highlight w:val="none"/>
        </w:rPr>
        <w:t>本筛选表由</w:t>
      </w:r>
      <w:r>
        <w:rPr>
          <w:rFonts w:hint="eastAsia" w:ascii="Times New Roman" w:hAnsi="Times New Roman" w:eastAsia="仿宋_GB2312"/>
          <w:sz w:val="28"/>
          <w:szCs w:val="28"/>
          <w:highlight w:val="none"/>
        </w:rPr>
        <w:t>项目管理办公室</w:t>
      </w:r>
      <w:r>
        <w:rPr>
          <w:rFonts w:ascii="Times New Roman" w:hAnsi="Times New Roman" w:eastAsia="仿宋_GB2312"/>
          <w:bCs/>
          <w:sz w:val="28"/>
          <w:szCs w:val="28"/>
          <w:highlight w:val="none"/>
        </w:rPr>
        <w:t>填写，由环境社会专家协助审查，并提交世界银行进行确认。</w:t>
      </w:r>
    </w:p>
    <w:p>
      <w:pPr>
        <w:snapToGrid w:val="0"/>
        <w:spacing w:line="360" w:lineRule="auto"/>
        <w:rPr>
          <w:rFonts w:ascii="Times New Roman" w:hAnsi="Times New Roman" w:eastAsia="宋体"/>
          <w:b/>
          <w:sz w:val="24"/>
          <w:szCs w:val="24"/>
          <w:highlight w:val="none"/>
        </w:rPr>
      </w:pPr>
      <w:r>
        <w:rPr>
          <w:rFonts w:ascii="Times New Roman" w:hAnsi="Times New Roman" w:eastAsia="宋体"/>
          <w:b/>
          <w:sz w:val="24"/>
          <w:szCs w:val="24"/>
          <w:highlight w:val="none"/>
        </w:rPr>
        <w:t xml:space="preserve">项目名称：________________________________________________________   </w:t>
      </w:r>
    </w:p>
    <w:p>
      <w:pPr>
        <w:snapToGrid w:val="0"/>
        <w:spacing w:line="360" w:lineRule="auto"/>
        <w:jc w:val="left"/>
        <w:rPr>
          <w:rFonts w:ascii="Times New Roman" w:hAnsi="Times New Roman" w:eastAsia="宋体"/>
          <w:b/>
          <w:sz w:val="24"/>
          <w:szCs w:val="24"/>
          <w:highlight w:val="none"/>
        </w:rPr>
      </w:pPr>
      <w:r>
        <w:rPr>
          <w:rFonts w:ascii="Times New Roman" w:hAnsi="Times New Roman" w:eastAsia="宋体"/>
          <w:b/>
          <w:sz w:val="24"/>
          <w:szCs w:val="24"/>
          <w:highlight w:val="none"/>
        </w:rPr>
        <w:t>项目类型</w:t>
      </w:r>
      <w:r>
        <w:rPr>
          <w:rStyle w:val="38"/>
          <w:rFonts w:ascii="Times New Roman" w:hAnsi="Times New Roman" w:eastAsia="宋体"/>
          <w:b/>
          <w:sz w:val="24"/>
          <w:szCs w:val="24"/>
          <w:highlight w:val="none"/>
        </w:rPr>
        <w:footnoteReference w:id="2"/>
      </w:r>
      <w:r>
        <w:rPr>
          <w:rFonts w:ascii="Times New Roman" w:hAnsi="Times New Roman" w:eastAsia="宋体"/>
          <w:b/>
          <w:sz w:val="24"/>
          <w:szCs w:val="24"/>
          <w:highlight w:val="none"/>
        </w:rPr>
        <w:t>（请勾选）：</w:t>
      </w:r>
      <w:r>
        <w:rPr>
          <w:rFonts w:hint="eastAsia" w:ascii="Times New Roman" w:hAnsi="Times New Roman" w:eastAsia="宋体"/>
          <w:b/>
          <w:sz w:val="24"/>
          <w:szCs w:val="24"/>
          <w:highlight w:val="none"/>
        </w:rPr>
        <w:t>Goods</w:t>
      </w:r>
      <w:r>
        <w:rPr>
          <w:rFonts w:ascii="Times New Roman" w:hAnsi="Times New Roman" w:eastAsia="宋体"/>
          <w:b/>
          <w:sz w:val="24"/>
          <w:szCs w:val="24"/>
          <w:highlight w:val="none"/>
        </w:rPr>
        <w:t xml:space="preserve"> / TA2 / TA3 / 其他，请说明____________________</w:t>
      </w:r>
    </w:p>
    <w:p>
      <w:pPr>
        <w:snapToGrid w:val="0"/>
        <w:spacing w:line="360" w:lineRule="auto"/>
        <w:jc w:val="left"/>
        <w:rPr>
          <w:rFonts w:ascii="Times New Roman" w:hAnsi="Times New Roman"/>
          <w:highlight w:val="none"/>
        </w:rPr>
      </w:pPr>
      <w:r>
        <w:rPr>
          <w:rFonts w:ascii="Times New Roman" w:hAnsi="Times New Roman" w:eastAsia="宋体"/>
          <w:b/>
          <w:sz w:val="24"/>
          <w:szCs w:val="24"/>
          <w:highlight w:val="none"/>
        </w:rPr>
        <w:t>项目实施单位（项目办）：______________________________________________</w:t>
      </w:r>
    </w:p>
    <w:tbl>
      <w:tblPr>
        <w:tblStyle w:val="29"/>
        <w:tblW w:w="5061" w:type="pct"/>
        <w:tblInd w:w="0" w:type="dxa"/>
        <w:tblLayout w:type="fixed"/>
        <w:tblCellMar>
          <w:top w:w="0" w:type="dxa"/>
          <w:left w:w="108" w:type="dxa"/>
          <w:bottom w:w="0" w:type="dxa"/>
          <w:right w:w="108" w:type="dxa"/>
        </w:tblCellMar>
      </w:tblPr>
      <w:tblGrid>
        <w:gridCol w:w="4362"/>
        <w:gridCol w:w="424"/>
        <w:gridCol w:w="424"/>
        <w:gridCol w:w="3404"/>
      </w:tblGrid>
      <w:tr>
        <w:tblPrEx>
          <w:tblCellMar>
            <w:top w:w="0" w:type="dxa"/>
            <w:left w:w="108" w:type="dxa"/>
            <w:bottom w:w="0" w:type="dxa"/>
            <w:right w:w="108" w:type="dxa"/>
          </w:tblCellMar>
        </w:tblPrEx>
        <w:trPr>
          <w:trHeight w:val="560" w:hRule="atLeast"/>
          <w:tblHeader/>
        </w:trPr>
        <w:tc>
          <w:tcPr>
            <w:tcW w:w="2532"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黑体"/>
                <w:b/>
                <w:kern w:val="0"/>
                <w:szCs w:val="21"/>
                <w:highlight w:val="none"/>
              </w:rPr>
            </w:pPr>
            <w:bookmarkStart w:id="107" w:name="_Hlk63071782"/>
            <w:r>
              <w:rPr>
                <w:rFonts w:ascii="Times New Roman" w:hAnsi="Times New Roman" w:eastAsia="黑体"/>
                <w:b/>
                <w:szCs w:val="21"/>
                <w:highlight w:val="none"/>
              </w:rPr>
              <w:t>筛查因子</w:t>
            </w:r>
          </w:p>
        </w:tc>
        <w:tc>
          <w:tcPr>
            <w:tcW w:w="24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黑体"/>
                <w:b/>
                <w:szCs w:val="21"/>
                <w:highlight w:val="none"/>
              </w:rPr>
            </w:pPr>
            <w:r>
              <w:rPr>
                <w:rFonts w:ascii="Times New Roman" w:hAnsi="Times New Roman" w:eastAsia="黑体"/>
                <w:b/>
                <w:szCs w:val="21"/>
                <w:highlight w:val="none"/>
              </w:rPr>
              <w:t>是</w:t>
            </w:r>
          </w:p>
          <w:p>
            <w:pPr>
              <w:snapToGrid w:val="0"/>
              <w:spacing w:line="240" w:lineRule="exact"/>
              <w:jc w:val="center"/>
              <w:rPr>
                <w:rFonts w:ascii="Times New Roman" w:hAnsi="Times New Roman" w:eastAsia="黑体"/>
                <w:b/>
                <w:kern w:val="0"/>
                <w:szCs w:val="21"/>
                <w:highlight w:val="none"/>
              </w:rPr>
            </w:pPr>
            <w:r>
              <w:rPr>
                <w:rFonts w:ascii="Times New Roman" w:hAnsi="Times New Roman" w:eastAsia="黑体"/>
                <w:b/>
                <w:kern w:val="0"/>
                <w:szCs w:val="21"/>
                <w:highlight w:val="none"/>
              </w:rPr>
              <w:t>Y</w:t>
            </w:r>
          </w:p>
        </w:tc>
        <w:tc>
          <w:tcPr>
            <w:tcW w:w="24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imes New Roman" w:hAnsi="Times New Roman" w:eastAsia="黑体"/>
                <w:b/>
                <w:szCs w:val="21"/>
                <w:highlight w:val="none"/>
              </w:rPr>
            </w:pPr>
            <w:r>
              <w:rPr>
                <w:rFonts w:ascii="Times New Roman" w:hAnsi="Times New Roman" w:eastAsia="黑体"/>
                <w:b/>
                <w:szCs w:val="21"/>
                <w:highlight w:val="none"/>
              </w:rPr>
              <w:t>否</w:t>
            </w:r>
          </w:p>
          <w:p>
            <w:pPr>
              <w:snapToGrid w:val="0"/>
              <w:spacing w:line="240" w:lineRule="exact"/>
              <w:jc w:val="center"/>
              <w:rPr>
                <w:rFonts w:ascii="Times New Roman" w:hAnsi="Times New Roman" w:eastAsia="黑体"/>
                <w:b/>
                <w:kern w:val="0"/>
                <w:szCs w:val="21"/>
                <w:highlight w:val="none"/>
              </w:rPr>
            </w:pPr>
            <w:r>
              <w:rPr>
                <w:rFonts w:ascii="Times New Roman" w:hAnsi="Times New Roman" w:eastAsia="黑体"/>
                <w:b/>
                <w:szCs w:val="21"/>
                <w:highlight w:val="none"/>
              </w:rPr>
              <w:t>N</w:t>
            </w:r>
          </w:p>
        </w:tc>
        <w:tc>
          <w:tcPr>
            <w:tcW w:w="1975"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imes New Roman" w:hAnsi="Times New Roman" w:eastAsia="黑体"/>
                <w:b/>
                <w:kern w:val="0"/>
                <w:szCs w:val="21"/>
                <w:highlight w:val="none"/>
              </w:rPr>
            </w:pPr>
            <w:r>
              <w:rPr>
                <w:rFonts w:ascii="Times New Roman" w:hAnsi="Times New Roman" w:eastAsia="黑体"/>
                <w:b/>
                <w:szCs w:val="21"/>
                <w:highlight w:val="none"/>
              </w:rPr>
              <w:t>备注/建议行动</w:t>
            </w:r>
          </w:p>
        </w:tc>
      </w:tr>
      <w:tr>
        <w:tblPrEx>
          <w:tblCellMar>
            <w:top w:w="0" w:type="dxa"/>
            <w:left w:w="108" w:type="dxa"/>
            <w:bottom w:w="0" w:type="dxa"/>
            <w:right w:w="108" w:type="dxa"/>
          </w:tblCellMar>
        </w:tblPrEx>
        <w:trPr>
          <w:trHeight w:val="520" w:hRule="atLeast"/>
          <w:tblHeader/>
        </w:trPr>
        <w:tc>
          <w:tcPr>
            <w:tcW w:w="2532"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highlight w:val="none"/>
              </w:rPr>
            </w:pPr>
          </w:p>
        </w:tc>
        <w:tc>
          <w:tcPr>
            <w:tcW w:w="246"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highlight w:val="none"/>
              </w:rPr>
            </w:pPr>
          </w:p>
        </w:tc>
        <w:tc>
          <w:tcPr>
            <w:tcW w:w="246"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highlight w:val="none"/>
              </w:rPr>
            </w:pPr>
          </w:p>
        </w:tc>
        <w:tc>
          <w:tcPr>
            <w:tcW w:w="1975" w:type="pct"/>
            <w:vMerge w:val="continue"/>
            <w:tcBorders>
              <w:top w:val="single" w:color="auto" w:sz="4" w:space="0"/>
              <w:left w:val="single" w:color="auto" w:sz="4" w:space="0"/>
              <w:bottom w:val="single" w:color="auto" w:sz="4" w:space="0"/>
              <w:right w:val="single" w:color="auto" w:sz="4" w:space="0"/>
            </w:tcBorders>
          </w:tcPr>
          <w:p>
            <w:pPr>
              <w:widowControl/>
              <w:snapToGrid w:val="0"/>
              <w:spacing w:line="360" w:lineRule="exact"/>
              <w:jc w:val="left"/>
              <w:rPr>
                <w:rFonts w:ascii="Times New Roman" w:hAnsi="Times New Roman" w:eastAsia="仿宋_GB2312"/>
                <w:b/>
                <w:kern w:val="0"/>
                <w:szCs w:val="21"/>
                <w:highlight w:val="none"/>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r>
              <w:rPr>
                <w:rFonts w:ascii="Times New Roman" w:hAnsi="Times New Roman" w:eastAsia="仿宋_GB2312"/>
                <w:b/>
                <w:szCs w:val="21"/>
                <w:highlight w:val="none"/>
              </w:rPr>
              <w:t>A．环境与社会排除清单（排除高环境社会风险的项目活动）</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r>
      <w:tr>
        <w:tblPrEx>
          <w:tblCellMar>
            <w:top w:w="0" w:type="dxa"/>
            <w:left w:w="108" w:type="dxa"/>
            <w:bottom w:w="0" w:type="dxa"/>
            <w:right w:w="108" w:type="dxa"/>
          </w:tblCellMar>
        </w:tblPrEx>
        <w:trPr>
          <w:trHeight w:val="255" w:hRule="atLeast"/>
        </w:trPr>
        <w:tc>
          <w:tcPr>
            <w:tcW w:w="2532" w:type="pct"/>
            <w:tcBorders>
              <w:top w:val="single" w:color="auto" w:sz="4" w:space="0"/>
              <w:left w:val="single" w:color="auto" w:sz="4" w:space="0"/>
              <w:bottom w:val="single" w:color="auto" w:sz="4" w:space="0"/>
              <w:right w:val="single" w:color="auto" w:sz="4" w:space="0"/>
            </w:tcBorders>
          </w:tcPr>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项目活动可能对重要自然栖息地和生物多样性造成重大负面影响的；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建设项目活动可能对不可复制的物质文化资源造成破坏或负面影响的；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土地利用性质改变的；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建设项目选址距离居住区不满足环境保护相关防护距离要求的；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涉及较大的征地移民影响的；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涉及占用基本农田，没有取得自然资源管理部门批准的；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项目单位受到环保部门处罚，且没有在规定时限内采取措施纠正问题的；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项目单位涉及任何形式的强制劳动或雇佣童工的（16岁以下）；</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不符合中国和青岛行业发展规划的；</w:t>
            </w:r>
          </w:p>
          <w:p>
            <w:pPr>
              <w:pStyle w:val="64"/>
              <w:numPr>
                <w:ilvl w:val="0"/>
                <w:numId w:val="5"/>
              </w:numPr>
              <w:snapToGrid w:val="0"/>
              <w:spacing w:line="360" w:lineRule="exact"/>
              <w:ind w:firstLineChars="0"/>
              <w:rPr>
                <w:rFonts w:ascii="Times New Roman" w:hAnsi="Times New Roman" w:eastAsia="仿宋_GB2312"/>
                <w:szCs w:val="21"/>
                <w:highlight w:val="none"/>
              </w:rPr>
            </w:pPr>
            <w:r>
              <w:rPr>
                <w:rFonts w:ascii="Times New Roman" w:hAnsi="Times New Roman" w:eastAsia="仿宋_GB2312"/>
                <w:szCs w:val="21"/>
                <w:highlight w:val="none"/>
              </w:rPr>
              <w:t>不符合世行贷款项目发展目标，即“防止气候变化、保护生物物种、保护水资源、减少对臭氧层的破坏”.</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Cs/>
                <w:kern w:val="0"/>
                <w:szCs w:val="21"/>
                <w:highlight w:val="none"/>
              </w:rPr>
            </w:pPr>
            <w:r>
              <w:rPr>
                <w:rFonts w:ascii="Times New Roman" w:hAnsi="Times New Roman" w:eastAsia="仿宋_GB2312"/>
                <w:szCs w:val="21"/>
                <w:highlight w:val="none"/>
              </w:rPr>
              <w:t>如果是，则不予支持。</w:t>
            </w:r>
          </w:p>
        </w:tc>
      </w:tr>
      <w:tr>
        <w:tblPrEx>
          <w:tblCellMar>
            <w:top w:w="0" w:type="dxa"/>
            <w:left w:w="108" w:type="dxa"/>
            <w:bottom w:w="0" w:type="dxa"/>
            <w:right w:w="108" w:type="dxa"/>
          </w:tblCellMar>
        </w:tblPrEx>
        <w:trPr>
          <w:trHeight w:val="310" w:hRule="atLeast"/>
        </w:trPr>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r>
              <w:rPr>
                <w:rFonts w:ascii="Times New Roman" w:hAnsi="Times New Roman" w:eastAsia="仿宋_GB2312"/>
                <w:b/>
                <w:szCs w:val="21"/>
                <w:highlight w:val="none"/>
              </w:rPr>
              <w:t>B．子项目的环境社会风险分级分类管理</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6"/>
              </w:numPr>
              <w:snapToGrid w:val="0"/>
              <w:spacing w:before="0" w:beforeAutospacing="0" w:after="0" w:afterAutospacing="0" w:line="360" w:lineRule="exact"/>
              <w:jc w:val="both"/>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项目活动是否可能涉及一些重大的环境社会影响（如涉及非重要自然栖息地或少量移民征地等），但所涉及的影响大多是暂时的、可预测的以及/或者可逆的，而且缓解和/或补偿措施的设计和实施可能比高风险项目更容易，更可靠。</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如果是，则认为项目在环境社会方面属于“较高”风险，需要结合项目具体类型（参考问题13-15的筛选结果），根据世行ESF要求准备相应适用的环境与社会文件。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6"/>
              </w:numPr>
              <w:snapToGrid w:val="0"/>
              <w:spacing w:before="0" w:beforeAutospacing="0" w:after="0" w:afterAutospacing="0" w:line="360" w:lineRule="exact"/>
              <w:jc w:val="both"/>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项目活动是否对人类和/或环境仅存在很小或可忽略不计的潜在不利风险和影响。</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如果是，则认为项目在环境社会方面属于“低”风险，除了执行项目的利益相关方参与计划外，不需要其他的环境与社会文件。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pStyle w:val="69"/>
              <w:widowControl w:val="0"/>
              <w:numPr>
                <w:ilvl w:val="0"/>
                <w:numId w:val="6"/>
              </w:numPr>
              <w:snapToGrid w:val="0"/>
              <w:spacing w:before="0" w:beforeAutospacing="0" w:after="0" w:afterAutospacing="0" w:line="360" w:lineRule="exact"/>
              <w:jc w:val="both"/>
              <w:rPr>
                <w:rFonts w:ascii="Times New Roman" w:hAnsi="Times New Roman" w:eastAsia="仿宋_GB2312" w:cs="Times New Roman"/>
                <w:kern w:val="2"/>
                <w:sz w:val="21"/>
                <w:szCs w:val="21"/>
                <w:highlight w:val="none"/>
              </w:rPr>
            </w:pPr>
            <w:r>
              <w:rPr>
                <w:rFonts w:ascii="Times New Roman" w:hAnsi="Times New Roman" w:eastAsia="仿宋_GB2312" w:cs="Times New Roman"/>
                <w:kern w:val="2"/>
                <w:sz w:val="21"/>
                <w:szCs w:val="21"/>
                <w:highlight w:val="none"/>
              </w:rPr>
              <w:t xml:space="preserve">项目活动的环境与社会风险是否介于问题10和12描述的情况之间？ </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kern w:val="0"/>
                <w:szCs w:val="21"/>
                <w:highlight w:val="none"/>
              </w:rPr>
              <w:t>如果是，则</w:t>
            </w:r>
            <w:r>
              <w:rPr>
                <w:rFonts w:ascii="Times New Roman" w:hAnsi="Times New Roman" w:eastAsia="仿宋_GB2312"/>
                <w:szCs w:val="21"/>
                <w:highlight w:val="none"/>
              </w:rPr>
              <w:t>认为项目在环境社会方面属于“中等”风险，</w:t>
            </w:r>
            <w:r>
              <w:rPr>
                <w:rFonts w:ascii="Times New Roman" w:hAnsi="Times New Roman" w:eastAsia="仿宋_GB2312"/>
                <w:kern w:val="0"/>
                <w:szCs w:val="21"/>
                <w:highlight w:val="none"/>
              </w:rPr>
              <w:t>需要结合项目具体类型</w:t>
            </w:r>
            <w:r>
              <w:rPr>
                <w:rFonts w:ascii="Times New Roman" w:hAnsi="Times New Roman" w:eastAsia="仿宋_GB2312"/>
                <w:szCs w:val="21"/>
                <w:highlight w:val="none"/>
              </w:rPr>
              <w:t>（参考问题13-15的筛选结果）</w:t>
            </w:r>
            <w:r>
              <w:rPr>
                <w:rFonts w:ascii="Times New Roman" w:hAnsi="Times New Roman" w:eastAsia="仿宋_GB2312"/>
                <w:kern w:val="0"/>
                <w:szCs w:val="21"/>
                <w:highlight w:val="none"/>
              </w:rPr>
              <w:t>，根据世行ESF要求准备相应适用的环境与社会文件。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项目活动是否属于</w:t>
            </w:r>
            <w:r>
              <w:rPr>
                <w:rFonts w:hint="eastAsia" w:ascii="Times New Roman" w:hAnsi="Times New Roman" w:eastAsia="仿宋_GB2312"/>
                <w:szCs w:val="21"/>
                <w:highlight w:val="none"/>
              </w:rPr>
              <w:t>设备采购（Goods）</w:t>
            </w:r>
            <w:r>
              <w:rPr>
                <w:rFonts w:ascii="Times New Roman" w:hAnsi="Times New Roman" w:eastAsia="仿宋_GB2312"/>
                <w:szCs w:val="21"/>
                <w:highlight w:val="none"/>
              </w:rPr>
              <w:t>？</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kern w:val="0"/>
                <w:szCs w:val="21"/>
                <w:highlight w:val="none"/>
              </w:rPr>
              <w:t>如果是，则同期需要编制符合世行环境社会框架（ESF）政策的适用环境社会文件，其中包括：环境与社会</w:t>
            </w:r>
            <w:r>
              <w:rPr>
                <w:rFonts w:hint="eastAsia" w:ascii="Times New Roman" w:hAnsi="Times New Roman" w:eastAsia="仿宋_GB2312"/>
                <w:kern w:val="0"/>
                <w:szCs w:val="21"/>
                <w:highlight w:val="none"/>
              </w:rPr>
              <w:t>管理框架</w:t>
            </w:r>
            <w:r>
              <w:rPr>
                <w:rFonts w:ascii="Times New Roman" w:hAnsi="Times New Roman" w:eastAsia="仿宋_GB2312"/>
                <w:kern w:val="0"/>
                <w:szCs w:val="21"/>
                <w:highlight w:val="none"/>
              </w:rPr>
              <w:t>、劳动管理程序等。</w:t>
            </w:r>
          </w:p>
        </w:tc>
      </w:tr>
      <w:tr>
        <w:tblPrEx>
          <w:tblCellMar>
            <w:top w:w="0" w:type="dxa"/>
            <w:left w:w="108" w:type="dxa"/>
            <w:bottom w:w="0" w:type="dxa"/>
            <w:right w:w="108" w:type="dxa"/>
          </w:tblCellMar>
        </w:tblPrEx>
        <w:trPr>
          <w:trHeight w:val="592" w:hRule="atLeast"/>
        </w:trPr>
        <w:tc>
          <w:tcPr>
            <w:tcW w:w="2532" w:type="pct"/>
            <w:tcBorders>
              <w:top w:val="single" w:color="auto" w:sz="4" w:space="0"/>
              <w:left w:val="single" w:color="auto" w:sz="4" w:space="0"/>
              <w:bottom w:val="single" w:color="auto" w:sz="4" w:space="0"/>
              <w:right w:val="single" w:color="auto" w:sz="4" w:space="0"/>
            </w:tcBorders>
            <w:vAlign w:val="center"/>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项目活动是否属于TA2？</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kern w:val="0"/>
                <w:szCs w:val="21"/>
                <w:highlight w:val="none"/>
              </w:rPr>
              <w:t xml:space="preserve">如果是，在开展此类研究之前，需确保将相关环境与社会风险的考量纳入了ToRs，并提交世界银行审查；针对涉及战略、规划或法规制定的子项目，研究成果报告中应设立战略环境与社会影响分析专门的章节，对照ESSs识别下游的潜在环境与社会风险，并提出应对这些风险的措施建议。同时在项目准备和实施阶段，还需根据本项目的利益相关方参与计划（SEP）进一步识别利益相关方及其需求，并进行信息公开、公众参与和意见反馈。 </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vAlign w:val="center"/>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项目活动是否属于TA3？</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kern w:val="0"/>
                <w:szCs w:val="21"/>
                <w:highlight w:val="none"/>
              </w:rPr>
              <w:t>如果是，无需单独准备环境与社会管理文件。但在开展此类活动之前，编制相关ToRs时需根据本项目的利益相关者参与计划（SEP）以及具体活动内容，考虑利益相关方（包括弱势群体）的充分有效参与。</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r>
              <w:rPr>
                <w:rFonts w:ascii="Times New Roman" w:hAnsi="Times New Roman" w:eastAsia="仿宋_GB2312"/>
                <w:b/>
                <w:kern w:val="0"/>
                <w:szCs w:val="21"/>
                <w:highlight w:val="none"/>
              </w:rPr>
              <w:t>项目涉及到现有企业的合规性</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b/>
                <w:kern w:val="0"/>
                <w:szCs w:val="21"/>
                <w:highlight w:val="none"/>
              </w:rPr>
            </w:pP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子项目企业是否有合法的营业许可、执照？</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审查文件和记录</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子项目企业是否符合国家相关环境法律法规和三废排放标准？</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审核合规记录(监控报告、证书等)，并与相关部门咨询。</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子项目企业是否面临重大的未解决的环保处罚或环保责任？(例如涉及环境问题的未决法律程序)</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与相关部门咨询进行资料研究。</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子项目企业是否面临周边群众或非政府组织的环境与社会影响投诉？</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与当地团体和非政府组织进行媒体搜索和磋商。</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子项目是否获得环保部门出具的环境影响评价报告审批文件或备案登记？</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审批文件的审核及相关部门网站的网上审核</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子项目是否获得相关土地使用权证或国土部门出具的用地审批文件？</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审批文件的审核及相关部门网站的网上审核。</w:t>
            </w:r>
          </w:p>
          <w:p>
            <w:pPr>
              <w:snapToGrid w:val="0"/>
              <w:spacing w:line="360" w:lineRule="exact"/>
              <w:rPr>
                <w:rFonts w:ascii="Times New Roman" w:hAnsi="Times New Roman" w:eastAsia="仿宋_GB2312"/>
                <w:kern w:val="0"/>
                <w:szCs w:val="21"/>
                <w:highlight w:val="none"/>
              </w:rPr>
            </w:pPr>
            <w:r>
              <w:rPr>
                <w:rFonts w:ascii="Times New Roman" w:hAnsi="Times New Roman" w:eastAsia="仿宋_GB2312"/>
                <w:szCs w:val="21"/>
                <w:highlight w:val="none"/>
              </w:rPr>
              <w:t>对于现有的生产企业，应对近3年土地征用情况进行尽职调查。</w:t>
            </w:r>
          </w:p>
        </w:tc>
      </w:tr>
      <w:tr>
        <w:tblPrEx>
          <w:tblCellMar>
            <w:top w:w="0" w:type="dxa"/>
            <w:left w:w="108" w:type="dxa"/>
            <w:bottom w:w="0" w:type="dxa"/>
            <w:right w:w="108" w:type="dxa"/>
          </w:tblCellMar>
        </w:tblPrEx>
        <w:tc>
          <w:tcPr>
            <w:tcW w:w="2532" w:type="pct"/>
            <w:tcBorders>
              <w:top w:val="single" w:color="auto" w:sz="4" w:space="0"/>
              <w:left w:val="single" w:color="auto" w:sz="4" w:space="0"/>
              <w:bottom w:val="single" w:color="auto" w:sz="4" w:space="0"/>
              <w:right w:val="single" w:color="auto" w:sz="4" w:space="0"/>
            </w:tcBorders>
          </w:tcPr>
          <w:p>
            <w:pPr>
              <w:numPr>
                <w:ilvl w:val="0"/>
                <w:numId w:val="7"/>
              </w:numPr>
              <w:snapToGrid w:val="0"/>
              <w:spacing w:line="360" w:lineRule="exact"/>
              <w:rPr>
                <w:rFonts w:ascii="Times New Roman" w:hAnsi="Times New Roman" w:eastAsia="仿宋_GB2312"/>
                <w:szCs w:val="21"/>
                <w:highlight w:val="none"/>
              </w:rPr>
            </w:pPr>
            <w:r>
              <w:rPr>
                <w:rFonts w:ascii="Times New Roman" w:hAnsi="Times New Roman" w:eastAsia="仿宋_GB2312"/>
                <w:szCs w:val="21"/>
                <w:highlight w:val="none"/>
              </w:rPr>
              <w:t>子项目是否需要安全、水保、地质灾害、防洪等相关部门审批？如果需要，说明审批情况。</w:t>
            </w: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246"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c>
          <w:tcPr>
            <w:tcW w:w="1975" w:type="pct"/>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trHeight w:val="889" w:hRule="atLeast"/>
        </w:trPr>
        <w:tc>
          <w:tcPr>
            <w:tcW w:w="5000" w:type="pct"/>
            <w:gridSpan w:val="4"/>
            <w:tcBorders>
              <w:top w:val="single" w:color="auto" w:sz="4" w:space="0"/>
              <w:left w:val="single" w:color="auto" w:sz="4" w:space="0"/>
              <w:bottom w:val="single" w:color="auto" w:sz="4" w:space="0"/>
              <w:right w:val="single" w:color="auto" w:sz="4" w:space="0"/>
            </w:tcBorders>
          </w:tcPr>
          <w:p>
            <w:pPr>
              <w:snapToGrid w:val="0"/>
              <w:spacing w:line="520" w:lineRule="exact"/>
              <w:rPr>
                <w:rFonts w:ascii="Times New Roman" w:hAnsi="Times New Roman" w:eastAsia="仿宋_GB2312"/>
                <w:szCs w:val="21"/>
                <w:highlight w:val="none"/>
              </w:rPr>
            </w:pPr>
            <w:r>
              <w:rPr>
                <w:rFonts w:ascii="Times New Roman" w:hAnsi="Times New Roman" w:eastAsia="仿宋_GB2312"/>
                <w:b/>
                <w:bCs/>
                <w:kern w:val="0"/>
                <w:szCs w:val="21"/>
                <w:highlight w:val="none"/>
              </w:rPr>
              <w:t>总体结论</w:t>
            </w:r>
            <w:r>
              <w:rPr>
                <w:rFonts w:ascii="Times New Roman" w:hAnsi="Times New Roman" w:eastAsia="仿宋_GB2312"/>
                <w:szCs w:val="21"/>
                <w:highlight w:val="none"/>
              </w:rPr>
              <w:t>（请勾选括号内的适用内容）：</w:t>
            </w:r>
          </w:p>
          <w:p>
            <w:pPr>
              <w:snapToGrid w:val="0"/>
              <w:spacing w:line="520" w:lineRule="exact"/>
              <w:rPr>
                <w:rFonts w:ascii="Times New Roman" w:hAnsi="Times New Roman" w:eastAsia="仿宋_GB2312"/>
                <w:b/>
                <w:bCs/>
                <w:kern w:val="0"/>
                <w:szCs w:val="21"/>
                <w:highlight w:val="none"/>
              </w:rPr>
            </w:pPr>
            <w:r>
              <w:rPr>
                <w:rFonts w:ascii="Times New Roman" w:hAnsi="Times New Roman" w:eastAsia="仿宋_GB2312"/>
                <w:b/>
                <w:bCs/>
                <w:kern w:val="0"/>
                <w:szCs w:val="21"/>
                <w:highlight w:val="none"/>
              </w:rPr>
              <w:t>1. 拟议子项目（属于 / 不属于）本项目《环境社会管理框架》的环境社会排除清单，（可以 / 不可以）纳入本项目支持范围；</w:t>
            </w:r>
          </w:p>
          <w:p>
            <w:pPr>
              <w:snapToGrid w:val="0"/>
              <w:spacing w:line="520" w:lineRule="exact"/>
              <w:rPr>
                <w:rFonts w:ascii="Times New Roman" w:hAnsi="Times New Roman" w:eastAsia="仿宋_GB2312"/>
                <w:b/>
                <w:bCs/>
                <w:kern w:val="0"/>
                <w:szCs w:val="21"/>
                <w:highlight w:val="none"/>
              </w:rPr>
            </w:pPr>
            <w:r>
              <w:rPr>
                <w:rFonts w:ascii="Times New Roman" w:hAnsi="Times New Roman" w:eastAsia="仿宋_GB2312"/>
                <w:b/>
                <w:bCs/>
                <w:kern w:val="0"/>
                <w:szCs w:val="21"/>
                <w:highlight w:val="none"/>
              </w:rPr>
              <w:t>2. 拟议子项目在环境社会方面属于（较高 / 中等 / 低）风险。</w:t>
            </w:r>
          </w:p>
          <w:p>
            <w:pPr>
              <w:snapToGrid w:val="0"/>
              <w:spacing w:line="520" w:lineRule="exact"/>
              <w:rPr>
                <w:rFonts w:ascii="Times New Roman" w:hAnsi="Times New Roman" w:eastAsia="仿宋_GB2312"/>
                <w:b/>
                <w:bCs/>
                <w:kern w:val="0"/>
                <w:szCs w:val="21"/>
                <w:highlight w:val="none"/>
              </w:rPr>
            </w:pPr>
            <w:r>
              <w:rPr>
                <w:rFonts w:ascii="Times New Roman" w:hAnsi="Times New Roman" w:eastAsia="仿宋_GB2312"/>
                <w:b/>
                <w:bCs/>
                <w:kern w:val="0"/>
                <w:szCs w:val="21"/>
                <w:highlight w:val="none"/>
              </w:rPr>
              <w:t>3. 拟议子项目在准备过程中，需要编制以下环境社会文件：</w:t>
            </w:r>
          </w:p>
          <w:p>
            <w:pPr>
              <w:snapToGrid w:val="0"/>
              <w:spacing w:line="520" w:lineRule="exact"/>
              <w:rPr>
                <w:rFonts w:ascii="Times New Roman" w:hAnsi="Times New Roman" w:eastAsia="仿宋_GB2312"/>
                <w:b/>
                <w:kern w:val="0"/>
                <w:szCs w:val="21"/>
                <w:highlight w:val="none"/>
              </w:rPr>
            </w:pPr>
            <w:r>
              <w:rPr>
                <w:rFonts w:ascii="Times New Roman" w:hAnsi="Times New Roman" w:eastAsia="仿宋_GB2312"/>
                <w:b/>
                <w:szCs w:val="21"/>
                <w:highlight w:val="none"/>
              </w:rPr>
              <w:t>______________________________________________________________________________________________________________________________________________________________________________________________________________</w:t>
            </w:r>
          </w:p>
          <w:p>
            <w:pPr>
              <w:snapToGrid w:val="0"/>
              <w:spacing w:line="520" w:lineRule="exact"/>
              <w:rPr>
                <w:rFonts w:ascii="Times New Roman" w:hAnsi="Times New Roman" w:eastAsia="仿宋_GB2312"/>
                <w:b/>
                <w:kern w:val="0"/>
                <w:szCs w:val="21"/>
                <w:highlight w:val="none"/>
              </w:rPr>
            </w:pPr>
            <w:r>
              <w:rPr>
                <w:rFonts w:ascii="Times New Roman" w:hAnsi="Times New Roman" w:eastAsia="仿宋_GB2312"/>
                <w:kern w:val="0"/>
                <w:szCs w:val="21"/>
                <w:highlight w:val="none"/>
              </w:rPr>
              <w:t>表格填写人：                                     表格审查人：</w:t>
            </w:r>
          </w:p>
        </w:tc>
      </w:tr>
      <w:bookmarkEnd w:id="107"/>
    </w:tbl>
    <w:p>
      <w:pPr>
        <w:snapToGrid w:val="0"/>
        <w:spacing w:line="520" w:lineRule="exact"/>
        <w:rPr>
          <w:rFonts w:ascii="Times New Roman" w:hAnsi="Times New Roman" w:eastAsia="微软雅黑 Light"/>
          <w:kern w:val="0"/>
          <w:sz w:val="24"/>
          <w:szCs w:val="24"/>
          <w:highlight w:val="none"/>
        </w:rPr>
        <w:sectPr>
          <w:pgSz w:w="11900" w:h="16838"/>
          <w:pgMar w:top="1440" w:right="1803" w:bottom="1440" w:left="1803" w:header="851" w:footer="992" w:gutter="0"/>
          <w:cols w:space="0" w:num="1"/>
          <w:docGrid w:type="lines" w:linePitch="325" w:charSpace="0"/>
        </w:sectPr>
      </w:pPr>
    </w:p>
    <w:p>
      <w:pPr>
        <w:widowControl/>
        <w:snapToGrid w:val="0"/>
        <w:spacing w:line="360" w:lineRule="auto"/>
        <w:jc w:val="left"/>
        <w:outlineLvl w:val="1"/>
        <w:rPr>
          <w:rFonts w:ascii="Times New Roman" w:hAnsi="Times New Roman" w:eastAsia="黑体"/>
          <w:sz w:val="32"/>
          <w:szCs w:val="32"/>
          <w:highlight w:val="none"/>
        </w:rPr>
      </w:pPr>
      <w:bookmarkStart w:id="108" w:name="_Toc662256541"/>
      <w:r>
        <w:rPr>
          <w:rFonts w:ascii="Times New Roman" w:hAnsi="Times New Roman" w:eastAsia="黑体"/>
          <w:sz w:val="32"/>
          <w:szCs w:val="32"/>
          <w:highlight w:val="none"/>
        </w:rPr>
        <w:t>附件2</w:t>
      </w:r>
    </w:p>
    <w:p>
      <w:pPr>
        <w:pStyle w:val="4"/>
        <w:adjustRightInd w:val="0"/>
        <w:snapToGrid w:val="0"/>
        <w:spacing w:before="0" w:after="0" w:line="240" w:lineRule="auto"/>
        <w:jc w:val="center"/>
        <w:rPr>
          <w:rFonts w:ascii="Times New Roman" w:hAnsi="Times New Roman" w:eastAsia="方正小标宋简体"/>
          <w:b w:val="0"/>
          <w:bCs w:val="0"/>
          <w:sz w:val="36"/>
          <w:szCs w:val="36"/>
          <w:highlight w:val="none"/>
        </w:rPr>
      </w:pPr>
      <w:r>
        <w:rPr>
          <w:rFonts w:ascii="Times New Roman" w:hAnsi="Times New Roman" w:eastAsia="方正小标宋简体"/>
          <w:b w:val="0"/>
          <w:bCs w:val="0"/>
          <w:sz w:val="36"/>
          <w:szCs w:val="36"/>
          <w:highlight w:val="none"/>
        </w:rPr>
        <w:t>生物实验室安全管理措施  现场调研</w:t>
      </w:r>
      <w:r>
        <w:rPr>
          <w:rFonts w:ascii="Times New Roman" w:hAnsi="Times New Roman" w:eastAsia="方正小标宋简体"/>
          <w:b w:val="0"/>
          <w:bCs w:val="0"/>
          <w:sz w:val="36"/>
          <w:szCs w:val="36"/>
          <w:highlight w:val="none"/>
        </w:rPr>
        <w:br w:type="textWrapping"/>
      </w:r>
      <w:r>
        <w:rPr>
          <w:rFonts w:ascii="Times New Roman" w:hAnsi="Times New Roman" w:eastAsia="方正小标宋简体"/>
          <w:b w:val="0"/>
          <w:bCs w:val="0"/>
          <w:sz w:val="36"/>
          <w:szCs w:val="36"/>
          <w:highlight w:val="none"/>
        </w:rPr>
        <w:t>健康安全管理措施</w:t>
      </w:r>
      <w:bookmarkEnd w:id="108"/>
    </w:p>
    <w:p>
      <w:pPr>
        <w:widowControl/>
        <w:snapToGrid w:val="0"/>
        <w:spacing w:line="360" w:lineRule="auto"/>
        <w:ind w:firstLine="640" w:firstLineChars="200"/>
        <w:jc w:val="left"/>
        <w:rPr>
          <w:rFonts w:ascii="Times New Roman" w:hAnsi="Times New Roman" w:eastAsia="仿宋_GB2312"/>
          <w:sz w:val="32"/>
          <w:szCs w:val="32"/>
          <w:highlight w:val="none"/>
        </w:rPr>
      </w:pP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实验室通过了CNAS 17025质量管理体系认可，制定了系列程序文件，以加强实验室人员、环境安全管理，具体如下。</w:t>
      </w: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1.《安全作业管理程序》通过制定安全操作规程、设备维护保养、试剂药品保藏、安全事故处理、消防急救培训等方面的措施，对可能影响检测的安全条件进行控制，保证安全、良好和符合要求的工作环境。</w:t>
      </w: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2.《实验室生物安全管理程序》通过对控制人员进出、配备防护装置、消毒传出的生物材料、防止动物伤人、加强人员防护培训等方面进行规定，以确保实验室的生物安全，防止人员感染或环境污染。</w:t>
      </w: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3.《实验室废弃物处理程序》通过规定实验过程中产生的种类废气、废液、废渣的处理方式方法，以规范实验过程中的废弃物处理，减少或消除实验废弃物的危害，保护人员和环境安全，满足健康、安全、环保要求。</w:t>
      </w: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4.《剧毒、危险品管理程序》通过对剧毒、危险品（含易制毒品）的采购、存储、领用、销毁等进行规范性要求，以加强对剧毒、危险品（含易制毒品）的管理和控制，保证人员和国家财产安全。</w:t>
      </w:r>
    </w:p>
    <w:p>
      <w:pPr>
        <w:widowControl/>
        <w:snapToGrid w:val="0"/>
        <w:spacing w:line="360" w:lineRule="auto"/>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实验室日常运行中严格按照程序文件要求进行操作，确保人员健康与环境安全。</w:t>
      </w:r>
    </w:p>
    <w:p>
      <w:pPr>
        <w:widowControl/>
        <w:snapToGrid w:val="0"/>
        <w:spacing w:line="360" w:lineRule="auto"/>
        <w:ind w:firstLine="640" w:firstLineChars="200"/>
        <w:jc w:val="left"/>
        <w:rPr>
          <w:rFonts w:ascii="Times New Roman" w:hAnsi="Times New Roman" w:eastAsia="仿宋_GB2312"/>
          <w:sz w:val="32"/>
          <w:szCs w:val="32"/>
          <w:highlight w:val="none"/>
        </w:rPr>
      </w:pPr>
    </w:p>
    <w:p>
      <w:pPr>
        <w:widowControl/>
        <w:snapToGrid w:val="0"/>
        <w:spacing w:line="360" w:lineRule="auto"/>
        <w:ind w:firstLine="640" w:firstLineChars="200"/>
        <w:jc w:val="left"/>
        <w:rPr>
          <w:rFonts w:ascii="Times New Roman" w:hAnsi="Times New Roman" w:eastAsia="仿宋_GB2312"/>
          <w:sz w:val="32"/>
          <w:szCs w:val="32"/>
          <w:highlight w:val="none"/>
        </w:rPr>
      </w:pPr>
    </w:p>
    <w:p>
      <w:pPr>
        <w:spacing w:line="360" w:lineRule="auto"/>
        <w:rPr>
          <w:rFonts w:ascii="Times New Roman" w:hAnsi="Times New Roman" w:eastAsia="仿宋_GB2312"/>
          <w:sz w:val="32"/>
          <w:szCs w:val="32"/>
          <w:highlight w:val="none"/>
        </w:rPr>
      </w:pPr>
    </w:p>
    <w:p>
      <w:pPr>
        <w:rPr>
          <w:rFonts w:ascii="Times New Roman" w:hAnsi="Times New Roman" w:eastAsia="宋体"/>
          <w:sz w:val="24"/>
          <w:szCs w:val="24"/>
          <w:highlight w:val="none"/>
        </w:rPr>
      </w:pPr>
    </w:p>
    <w:bookmarkEnd w:id="109"/>
    <w:sectPr>
      <w:headerReference r:id="rId14" w:type="default"/>
      <w:footerReference r:id="rId15" w:type="default"/>
      <w:pgSz w:w="11900" w:h="16838"/>
      <w:pgMar w:top="1440" w:right="1803" w:bottom="1440" w:left="1803" w:header="851" w:footer="992" w:gutter="0"/>
      <w:cols w:space="0" w:num="1"/>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altName w:val="方正仿宋_GBK"/>
    <w:panose1 w:val="02010609060101010101"/>
    <w:charset w:val="86"/>
    <w:family w:val="modern"/>
    <w:pitch w:val="default"/>
    <w:sig w:usb0="00000000" w:usb1="00000000" w:usb2="00000016" w:usb3="00000000" w:csb0="00040001" w:csb1="00000000"/>
  </w:font>
  <w:font w:name="微软雅黑 Light">
    <w:altName w:val="方正黑体_GBK"/>
    <w:panose1 w:val="020B0502040204020203"/>
    <w:charset w:val="86"/>
    <w:family w:val="swiss"/>
    <w:pitch w:val="default"/>
    <w:sig w:usb0="00000000" w:usb1="00000000" w:usb2="00000016" w:usb3="00000000" w:csb0="0004001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方正仿宋_GBK"/>
    <w:panose1 w:val="00000000000000000000"/>
    <w:charset w:val="86"/>
    <w:family w:val="roman"/>
    <w:pitch w:val="default"/>
    <w:sig w:usb0="00000000" w:usb1="00000000"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 PAGE </w:instrTex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4</w:t>
    </w:r>
    <w:r>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sdt>
      <w:sdtPr>
        <w:id w:val="1003377"/>
      </w:sdtPr>
      <w:sdtContent/>
    </w:sdt>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4/5Im0AQAAUwMAAA4AAABkcnMv&#10;ZTJvRG9jLnhtbK1TS44TMRDdI3EHy3vi7iC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nLlhIvHM7o9O3r6fvP048vpC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j/kibQBAABTAwAADgAAAAAAAAABACAAAAA0AQAAZHJzL2Uyb0Rv&#10;Yy54bWxQSwUGAAAAAAYABgBZAQAAWg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32</w:t>
                </w:r>
                <w:r>
                  <w:fldChar w:fldCharType="end"/>
                </w:r>
              </w:p>
            </w:txbxContent>
          </v:textbox>
        </v:shape>
      </w:pict>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4vRe0AQAAUwMAAA4AAABkcnMv&#10;ZTJvRG9jLnhtbK1TS44TMRDdI3EHy3viTiOh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nLlhIvHM7o9O3r6fvP048vpC39GWPq&#10;MO0hYmKeXoeJ0wx7NYcS+ovySYMrX9REMAWbfbw2WE2ZSHQuV+1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Hi9F7QBAABTAwAADgAAAAAAAAABACAAAAA0AQAAZHJzL2Uyb0Rv&#10;Yy54bWxQSwUGAAAAAAYABgBZAQAAWg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w:r>
  </w:p>
  <w:sdt>
    <w:sdtPr>
      <w:id w:val="1003378"/>
    </w:sdtPr>
    <w:sdtContent>
      <w:p>
        <w:pPr>
          <w:pStyle w:val="17"/>
          <w:jc w:val="center"/>
        </w:pPr>
      </w:p>
      <w:p>
        <w:pPr>
          <w:pStyle w:val="17"/>
          <w:jc w:val="center"/>
        </w:pPr>
      </w:p>
    </w:sdtContent>
  </w:sdt>
  <w:p>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1"/>
        <w:szCs w:val="21"/>
      </w:rPr>
    </w:pPr>
    <w:r>
      <w:rPr>
        <w:sz w:val="21"/>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mrp1YrQBAABTAwAADgAAAAAAAAABACAAAAA0AQAAZHJzL2Uyb0Rv&#10;Yy54bWxQSwUGAAAAAAYABgBZAQAAWg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FXxfvC1AQAAUwMAAA4AAAAAAAAAAQAgAAAANAEAAGRycy9lMm9E&#10;b2MueG1sUEsFBgAAAAAGAAYAWQEAAFsF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w:r>
  </w:p>
  <w:p>
    <w:pPr>
      <w:pStyle w:val="17"/>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21"/>
        <w:rPr>
          <w:rFonts w:eastAsia="微软雅黑 Light"/>
          <w:i w:val="0"/>
        </w:rPr>
      </w:pPr>
      <w:r>
        <w:rPr>
          <w:rStyle w:val="38"/>
          <w:rFonts w:eastAsia="微软雅黑 Light"/>
          <w:i w:val="0"/>
        </w:rPr>
        <w:footnoteRef/>
      </w:r>
      <w:r>
        <w:rPr>
          <w:rFonts w:hint="eastAsia" w:eastAsia="微软雅黑 Light"/>
          <w:i w:val="0"/>
        </w:rPr>
        <w:t>关联设施指的是在世界银行看来，不作为项目一部分进行融资的设施或活动，但：</w:t>
      </w:r>
      <w:r>
        <w:rPr>
          <w:rFonts w:eastAsia="微软雅黑 Light"/>
          <w:i w:val="0"/>
        </w:rPr>
        <w:t>(a)与项目</w:t>
      </w:r>
      <w:r>
        <w:rPr>
          <w:rFonts w:hint="eastAsia" w:eastAsia="微软雅黑 Light"/>
          <w:i w:val="0"/>
        </w:rPr>
        <w:t>直接关联且显著相关；</w:t>
      </w:r>
      <w:r>
        <w:rPr>
          <w:rFonts w:eastAsia="微软雅黑 Light"/>
          <w:i w:val="0"/>
        </w:rPr>
        <w:t>(b)与项目同时开展或计划同时开</w:t>
      </w:r>
      <w:r>
        <w:rPr>
          <w:rFonts w:hint="eastAsia" w:eastAsia="微软雅黑 Light"/>
          <w:i w:val="0"/>
        </w:rPr>
        <w:t>展；并且</w:t>
      </w:r>
      <w:r>
        <w:rPr>
          <w:rFonts w:eastAsia="微软雅黑 Light"/>
          <w:i w:val="0"/>
        </w:rPr>
        <w:t>(c)对项目的可行性非常必要，若本项目不存</w:t>
      </w:r>
      <w:r>
        <w:rPr>
          <w:rFonts w:hint="eastAsia" w:eastAsia="微软雅黑 Light"/>
          <w:i w:val="0"/>
        </w:rPr>
        <w:t>在，则关联设施不会被建造、扩展或进行。对于关联设施或活动，它们必须满足以上所有三个标准。根据世界银行的《环境社会框架》，《环境社会标准1》同样适用于所有借款国可以控制和影响的关联设施。</w:t>
      </w:r>
    </w:p>
  </w:footnote>
  <w:footnote w:id="1">
    <w:p>
      <w:pPr>
        <w:spacing w:line="240" w:lineRule="exact"/>
        <w:rPr>
          <w:rFonts w:ascii="仿宋" w:hAnsi="仿宋" w:eastAsia="仿宋" w:cs="仿宋"/>
          <w:sz w:val="18"/>
          <w:szCs w:val="18"/>
        </w:rPr>
      </w:pPr>
      <w:r>
        <w:rPr>
          <w:rFonts w:hint="eastAsia" w:ascii="仿宋" w:hAnsi="仿宋" w:eastAsia="仿宋" w:cs="仿宋"/>
          <w:sz w:val="18"/>
          <w:szCs w:val="18"/>
        </w:rPr>
        <w:footnoteRef/>
      </w:r>
      <w:r>
        <w:rPr>
          <w:rFonts w:hint="eastAsia" w:ascii="仿宋" w:hAnsi="仿宋" w:eastAsia="仿宋" w:cs="仿宋"/>
          <w:sz w:val="18"/>
          <w:szCs w:val="18"/>
        </w:rPr>
        <w:t xml:space="preserve"> 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 w:id="2">
    <w:p>
      <w:pPr>
        <w:pStyle w:val="21"/>
        <w:rPr>
          <w:rFonts w:ascii="仿宋" w:hAnsi="仿宋" w:eastAsia="仿宋" w:cs="仿宋"/>
          <w:i w:val="0"/>
        </w:rPr>
      </w:pPr>
      <w:r>
        <w:rPr>
          <w:rStyle w:val="38"/>
          <w:rFonts w:hint="eastAsia" w:ascii="仿宋" w:hAnsi="仿宋" w:eastAsia="仿宋" w:cs="仿宋"/>
          <w:i w:val="0"/>
        </w:rPr>
        <w:footnoteRef/>
      </w:r>
      <w:r>
        <w:rPr>
          <w:rFonts w:hint="eastAsia" w:ascii="仿宋" w:hAnsi="仿宋" w:eastAsia="仿宋" w:cs="仿宋"/>
          <w:i w:val="0"/>
        </w:rPr>
        <w:t xml:space="preserve"> 根据世界银行《技术援助与环境社会框架导则》，技术援助活动主要分为三类，TA1—支持未来基础设施或其他行业投资项目的准备，例如可研、设计、环境与社会文件或者为实施其他有可能产生环境与社会风险的活动而提供准备工作；TA2—支持政策、规划、方案、法律框架的制定；TA3—借款人的能力加强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世界银行“预防、准备与应对新发传染病项目”农业农村部子项目                 环境与社会管理框架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976CC"/>
    <w:multiLevelType w:val="multilevel"/>
    <w:tmpl w:val="0BB976C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02B5502"/>
    <w:multiLevelType w:val="multilevel"/>
    <w:tmpl w:val="502B5502"/>
    <w:lvl w:ilvl="0" w:tentative="0">
      <w:start w:val="1"/>
      <w:numFmt w:val="bullet"/>
      <w:lvlText w:val="-"/>
      <w:lvlJc w:val="left"/>
      <w:pPr>
        <w:ind w:left="360" w:hanging="360"/>
      </w:pPr>
      <w:rPr>
        <w:rFonts w:hint="default" w:ascii="Times New Roman" w:hAnsi="Times New Roman" w:eastAsia="等线" w:cs="Times New Roman"/>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63D1CA1"/>
    <w:multiLevelType w:val="multilevel"/>
    <w:tmpl w:val="563D1CA1"/>
    <w:lvl w:ilvl="0" w:tentative="0">
      <w:start w:val="1"/>
      <w:numFmt w:val="bullet"/>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3">
    <w:nsid w:val="63BE412A"/>
    <w:multiLevelType w:val="multilevel"/>
    <w:tmpl w:val="63BE412A"/>
    <w:lvl w:ilvl="0" w:tentative="0">
      <w:start w:val="1"/>
      <w:numFmt w:val="decimal"/>
      <w:lvlText w:val="%1."/>
      <w:lvlJc w:val="left"/>
      <w:pPr>
        <w:ind w:left="360" w:hanging="360"/>
      </w:pPr>
      <w:rPr>
        <w:rFonts w:hint="default"/>
      </w:rPr>
    </w:lvl>
    <w:lvl w:ilvl="1" w:tentative="0">
      <w:start w:val="1"/>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4">
    <w:nsid w:val="710C2B35"/>
    <w:multiLevelType w:val="multilevel"/>
    <w:tmpl w:val="710C2B35"/>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FF51BE9"/>
    <w:multiLevelType w:val="multilevel"/>
    <w:tmpl w:val="7FF51B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1"/>
  </w:num>
  <w:num w:numId="5">
    <w:abstractNumId w:val="4"/>
  </w:num>
  <w:num w:numId="6">
    <w:abstractNumId w:val="0"/>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62"/>
  <w:noPunctuationKerning w:val="true"/>
  <w:characterSpacingControl w:val="compressPunctuation"/>
  <w:hdrShapeDefaults>
    <o:shapelayout v:ext="edit">
      <o:idmap v:ext="edit" data="1"/>
    </o:shapelayout>
  </w:hdrShapeDefaults>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zMDMxNDUyYjU2YWNjYzQ4ZmE1NTNlMzc4NDA5OGEifQ=="/>
  </w:docVars>
  <w:rsids>
    <w:rsidRoot w:val="00A26BE7"/>
    <w:rsid w:val="00000574"/>
    <w:rsid w:val="00002D23"/>
    <w:rsid w:val="000071C2"/>
    <w:rsid w:val="000100A0"/>
    <w:rsid w:val="000167C0"/>
    <w:rsid w:val="000202AC"/>
    <w:rsid w:val="00020498"/>
    <w:rsid w:val="00020B0E"/>
    <w:rsid w:val="00021371"/>
    <w:rsid w:val="00022E4B"/>
    <w:rsid w:val="000246DB"/>
    <w:rsid w:val="00026017"/>
    <w:rsid w:val="00035A1C"/>
    <w:rsid w:val="000364A0"/>
    <w:rsid w:val="00040921"/>
    <w:rsid w:val="000442C5"/>
    <w:rsid w:val="00050305"/>
    <w:rsid w:val="00050966"/>
    <w:rsid w:val="00052878"/>
    <w:rsid w:val="0005504E"/>
    <w:rsid w:val="0005617A"/>
    <w:rsid w:val="0006351D"/>
    <w:rsid w:val="000639DE"/>
    <w:rsid w:val="00064971"/>
    <w:rsid w:val="00067945"/>
    <w:rsid w:val="00072D6E"/>
    <w:rsid w:val="00077551"/>
    <w:rsid w:val="00077B7F"/>
    <w:rsid w:val="00082E57"/>
    <w:rsid w:val="00083157"/>
    <w:rsid w:val="00085B5C"/>
    <w:rsid w:val="00086767"/>
    <w:rsid w:val="000904B3"/>
    <w:rsid w:val="00092C20"/>
    <w:rsid w:val="0009429F"/>
    <w:rsid w:val="000A33A8"/>
    <w:rsid w:val="000A4316"/>
    <w:rsid w:val="000A71FD"/>
    <w:rsid w:val="000B2A66"/>
    <w:rsid w:val="000C1EF3"/>
    <w:rsid w:val="000C20B0"/>
    <w:rsid w:val="000C4E14"/>
    <w:rsid w:val="000C6CBE"/>
    <w:rsid w:val="000E1298"/>
    <w:rsid w:val="000E161E"/>
    <w:rsid w:val="000E6ED8"/>
    <w:rsid w:val="000E6EE5"/>
    <w:rsid w:val="000F0E71"/>
    <w:rsid w:val="000F2995"/>
    <w:rsid w:val="000F5359"/>
    <w:rsid w:val="000F5B01"/>
    <w:rsid w:val="000F5C41"/>
    <w:rsid w:val="00102A0C"/>
    <w:rsid w:val="00106016"/>
    <w:rsid w:val="001061CF"/>
    <w:rsid w:val="00106ECB"/>
    <w:rsid w:val="00107721"/>
    <w:rsid w:val="00113440"/>
    <w:rsid w:val="00121B1E"/>
    <w:rsid w:val="00123574"/>
    <w:rsid w:val="00124977"/>
    <w:rsid w:val="00124CF9"/>
    <w:rsid w:val="001279C5"/>
    <w:rsid w:val="001305A2"/>
    <w:rsid w:val="0013306A"/>
    <w:rsid w:val="00133A13"/>
    <w:rsid w:val="001346F2"/>
    <w:rsid w:val="001372A4"/>
    <w:rsid w:val="001411F1"/>
    <w:rsid w:val="00141B90"/>
    <w:rsid w:val="0014280E"/>
    <w:rsid w:val="00142DFA"/>
    <w:rsid w:val="00143E96"/>
    <w:rsid w:val="00145335"/>
    <w:rsid w:val="00145C2E"/>
    <w:rsid w:val="0014713C"/>
    <w:rsid w:val="00147919"/>
    <w:rsid w:val="00147F47"/>
    <w:rsid w:val="001535D4"/>
    <w:rsid w:val="0015481E"/>
    <w:rsid w:val="00155AE8"/>
    <w:rsid w:val="00155EE2"/>
    <w:rsid w:val="00156E8B"/>
    <w:rsid w:val="0015743F"/>
    <w:rsid w:val="00162B80"/>
    <w:rsid w:val="00165807"/>
    <w:rsid w:val="001711CD"/>
    <w:rsid w:val="00173D28"/>
    <w:rsid w:val="00174C85"/>
    <w:rsid w:val="00177885"/>
    <w:rsid w:val="001878B2"/>
    <w:rsid w:val="001917B0"/>
    <w:rsid w:val="0019405E"/>
    <w:rsid w:val="00195D79"/>
    <w:rsid w:val="0019689B"/>
    <w:rsid w:val="001A2001"/>
    <w:rsid w:val="001A21CC"/>
    <w:rsid w:val="001A38D9"/>
    <w:rsid w:val="001A55F7"/>
    <w:rsid w:val="001A5C95"/>
    <w:rsid w:val="001A71D9"/>
    <w:rsid w:val="001B1783"/>
    <w:rsid w:val="001B3DF2"/>
    <w:rsid w:val="001C05EA"/>
    <w:rsid w:val="001C0681"/>
    <w:rsid w:val="001C2309"/>
    <w:rsid w:val="001C2957"/>
    <w:rsid w:val="001C6C98"/>
    <w:rsid w:val="001D157A"/>
    <w:rsid w:val="001E1CBC"/>
    <w:rsid w:val="001E200E"/>
    <w:rsid w:val="001E2C2D"/>
    <w:rsid w:val="001E326C"/>
    <w:rsid w:val="001F6BC2"/>
    <w:rsid w:val="001F7B71"/>
    <w:rsid w:val="00203A4A"/>
    <w:rsid w:val="00203D60"/>
    <w:rsid w:val="00203E82"/>
    <w:rsid w:val="0020680E"/>
    <w:rsid w:val="002070B1"/>
    <w:rsid w:val="00220F36"/>
    <w:rsid w:val="00221147"/>
    <w:rsid w:val="00221919"/>
    <w:rsid w:val="00221EBF"/>
    <w:rsid w:val="0022205A"/>
    <w:rsid w:val="0022239A"/>
    <w:rsid w:val="00223BEA"/>
    <w:rsid w:val="0022761A"/>
    <w:rsid w:val="00235B14"/>
    <w:rsid w:val="0023762A"/>
    <w:rsid w:val="002409C6"/>
    <w:rsid w:val="00244C56"/>
    <w:rsid w:val="0024525C"/>
    <w:rsid w:val="00252A42"/>
    <w:rsid w:val="00252F4B"/>
    <w:rsid w:val="002535EF"/>
    <w:rsid w:val="00254C90"/>
    <w:rsid w:val="0026230F"/>
    <w:rsid w:val="00262A76"/>
    <w:rsid w:val="0026402A"/>
    <w:rsid w:val="00264610"/>
    <w:rsid w:val="00284051"/>
    <w:rsid w:val="00286929"/>
    <w:rsid w:val="002A2E15"/>
    <w:rsid w:val="002A3A84"/>
    <w:rsid w:val="002A3B56"/>
    <w:rsid w:val="002A3F81"/>
    <w:rsid w:val="002A5699"/>
    <w:rsid w:val="002A5C06"/>
    <w:rsid w:val="002A68EC"/>
    <w:rsid w:val="002A7B47"/>
    <w:rsid w:val="002A7B8A"/>
    <w:rsid w:val="002B184D"/>
    <w:rsid w:val="002B438D"/>
    <w:rsid w:val="002B5A5A"/>
    <w:rsid w:val="002B6E59"/>
    <w:rsid w:val="002B78B1"/>
    <w:rsid w:val="002C1C4A"/>
    <w:rsid w:val="002C2939"/>
    <w:rsid w:val="002C2BC8"/>
    <w:rsid w:val="002C3FE9"/>
    <w:rsid w:val="002C56EC"/>
    <w:rsid w:val="002C7A2B"/>
    <w:rsid w:val="002D28D7"/>
    <w:rsid w:val="002D48DA"/>
    <w:rsid w:val="002E0025"/>
    <w:rsid w:val="002E0648"/>
    <w:rsid w:val="002E3A9B"/>
    <w:rsid w:val="002E3D45"/>
    <w:rsid w:val="002E6274"/>
    <w:rsid w:val="002F0365"/>
    <w:rsid w:val="002F195F"/>
    <w:rsid w:val="002F43FA"/>
    <w:rsid w:val="002F7EC8"/>
    <w:rsid w:val="003019B1"/>
    <w:rsid w:val="0030285A"/>
    <w:rsid w:val="00304D3F"/>
    <w:rsid w:val="00305044"/>
    <w:rsid w:val="00305C3B"/>
    <w:rsid w:val="00305E79"/>
    <w:rsid w:val="003077F1"/>
    <w:rsid w:val="00307C23"/>
    <w:rsid w:val="00307EE2"/>
    <w:rsid w:val="00310276"/>
    <w:rsid w:val="0031077A"/>
    <w:rsid w:val="00310CA6"/>
    <w:rsid w:val="003132E9"/>
    <w:rsid w:val="00313DA3"/>
    <w:rsid w:val="00317618"/>
    <w:rsid w:val="003179C9"/>
    <w:rsid w:val="00317B8F"/>
    <w:rsid w:val="0032044A"/>
    <w:rsid w:val="00320ADD"/>
    <w:rsid w:val="00325EC5"/>
    <w:rsid w:val="00331BF6"/>
    <w:rsid w:val="00334750"/>
    <w:rsid w:val="003350E3"/>
    <w:rsid w:val="0033641A"/>
    <w:rsid w:val="00336A24"/>
    <w:rsid w:val="0033726C"/>
    <w:rsid w:val="00350117"/>
    <w:rsid w:val="003511C9"/>
    <w:rsid w:val="00351819"/>
    <w:rsid w:val="00351C5E"/>
    <w:rsid w:val="00354A95"/>
    <w:rsid w:val="00360E64"/>
    <w:rsid w:val="00364009"/>
    <w:rsid w:val="00364D10"/>
    <w:rsid w:val="00370B87"/>
    <w:rsid w:val="0037236C"/>
    <w:rsid w:val="00373961"/>
    <w:rsid w:val="00374ABB"/>
    <w:rsid w:val="003755DF"/>
    <w:rsid w:val="0038011F"/>
    <w:rsid w:val="00380D79"/>
    <w:rsid w:val="003817CD"/>
    <w:rsid w:val="00381B7B"/>
    <w:rsid w:val="0038254A"/>
    <w:rsid w:val="003862E2"/>
    <w:rsid w:val="003867D7"/>
    <w:rsid w:val="003918F5"/>
    <w:rsid w:val="00393254"/>
    <w:rsid w:val="003938F0"/>
    <w:rsid w:val="003954A8"/>
    <w:rsid w:val="00396475"/>
    <w:rsid w:val="003964B0"/>
    <w:rsid w:val="003A007C"/>
    <w:rsid w:val="003A0229"/>
    <w:rsid w:val="003A1884"/>
    <w:rsid w:val="003A1A1B"/>
    <w:rsid w:val="003A585F"/>
    <w:rsid w:val="003A6A46"/>
    <w:rsid w:val="003A7CC2"/>
    <w:rsid w:val="003A7D8E"/>
    <w:rsid w:val="003B1A1B"/>
    <w:rsid w:val="003B4928"/>
    <w:rsid w:val="003C1923"/>
    <w:rsid w:val="003C1C25"/>
    <w:rsid w:val="003C3279"/>
    <w:rsid w:val="003C7CB7"/>
    <w:rsid w:val="003D179C"/>
    <w:rsid w:val="003D1984"/>
    <w:rsid w:val="003D1B5E"/>
    <w:rsid w:val="003D2D79"/>
    <w:rsid w:val="003D2E0C"/>
    <w:rsid w:val="003D4785"/>
    <w:rsid w:val="003D4B21"/>
    <w:rsid w:val="003D57C7"/>
    <w:rsid w:val="003E1C96"/>
    <w:rsid w:val="003E3A62"/>
    <w:rsid w:val="00400E1C"/>
    <w:rsid w:val="00401315"/>
    <w:rsid w:val="00403592"/>
    <w:rsid w:val="00403AD1"/>
    <w:rsid w:val="00406847"/>
    <w:rsid w:val="00406A3C"/>
    <w:rsid w:val="00407381"/>
    <w:rsid w:val="00416957"/>
    <w:rsid w:val="00416AFE"/>
    <w:rsid w:val="00416D11"/>
    <w:rsid w:val="004179FE"/>
    <w:rsid w:val="004204D8"/>
    <w:rsid w:val="004232DE"/>
    <w:rsid w:val="004254EA"/>
    <w:rsid w:val="004260F2"/>
    <w:rsid w:val="004269EE"/>
    <w:rsid w:val="00426B49"/>
    <w:rsid w:val="004308F0"/>
    <w:rsid w:val="00433B6A"/>
    <w:rsid w:val="00434CD4"/>
    <w:rsid w:val="004354C4"/>
    <w:rsid w:val="004359EC"/>
    <w:rsid w:val="00437710"/>
    <w:rsid w:val="00441EA5"/>
    <w:rsid w:val="004439D4"/>
    <w:rsid w:val="00444D56"/>
    <w:rsid w:val="004451C4"/>
    <w:rsid w:val="00445ECC"/>
    <w:rsid w:val="0044773D"/>
    <w:rsid w:val="00447A5E"/>
    <w:rsid w:val="00455F77"/>
    <w:rsid w:val="00460021"/>
    <w:rsid w:val="0046306A"/>
    <w:rsid w:val="00464B2B"/>
    <w:rsid w:val="004726A7"/>
    <w:rsid w:val="004729C4"/>
    <w:rsid w:val="0047566F"/>
    <w:rsid w:val="00475BE2"/>
    <w:rsid w:val="00482A21"/>
    <w:rsid w:val="00485BFC"/>
    <w:rsid w:val="00486557"/>
    <w:rsid w:val="00491E72"/>
    <w:rsid w:val="00493E2C"/>
    <w:rsid w:val="00493FDB"/>
    <w:rsid w:val="004A0167"/>
    <w:rsid w:val="004A3763"/>
    <w:rsid w:val="004B180E"/>
    <w:rsid w:val="004B1A2B"/>
    <w:rsid w:val="004C0A5A"/>
    <w:rsid w:val="004C2591"/>
    <w:rsid w:val="004C37DF"/>
    <w:rsid w:val="004C46E4"/>
    <w:rsid w:val="004C63EC"/>
    <w:rsid w:val="004C6811"/>
    <w:rsid w:val="004C6EA5"/>
    <w:rsid w:val="004C76A3"/>
    <w:rsid w:val="004D731B"/>
    <w:rsid w:val="004D7B52"/>
    <w:rsid w:val="004E2BB1"/>
    <w:rsid w:val="004E5D12"/>
    <w:rsid w:val="004E5EFE"/>
    <w:rsid w:val="004E67BA"/>
    <w:rsid w:val="004F067A"/>
    <w:rsid w:val="004F0B5E"/>
    <w:rsid w:val="004F2690"/>
    <w:rsid w:val="004F2DAB"/>
    <w:rsid w:val="004F6617"/>
    <w:rsid w:val="00500F60"/>
    <w:rsid w:val="005016A4"/>
    <w:rsid w:val="0050266C"/>
    <w:rsid w:val="00504817"/>
    <w:rsid w:val="00504B0E"/>
    <w:rsid w:val="005061B2"/>
    <w:rsid w:val="0050789F"/>
    <w:rsid w:val="00512F01"/>
    <w:rsid w:val="005165D0"/>
    <w:rsid w:val="00516A3B"/>
    <w:rsid w:val="00523B5F"/>
    <w:rsid w:val="0052526A"/>
    <w:rsid w:val="005358F4"/>
    <w:rsid w:val="00537176"/>
    <w:rsid w:val="0054263B"/>
    <w:rsid w:val="005433D1"/>
    <w:rsid w:val="00547AE2"/>
    <w:rsid w:val="00551124"/>
    <w:rsid w:val="005539E7"/>
    <w:rsid w:val="00556982"/>
    <w:rsid w:val="005576AA"/>
    <w:rsid w:val="005634F4"/>
    <w:rsid w:val="00573E7B"/>
    <w:rsid w:val="005830F9"/>
    <w:rsid w:val="005852CC"/>
    <w:rsid w:val="005852E6"/>
    <w:rsid w:val="0058576C"/>
    <w:rsid w:val="00585B43"/>
    <w:rsid w:val="0059071F"/>
    <w:rsid w:val="005921D9"/>
    <w:rsid w:val="00596AE5"/>
    <w:rsid w:val="00597E27"/>
    <w:rsid w:val="005A3176"/>
    <w:rsid w:val="005A714C"/>
    <w:rsid w:val="005A7C28"/>
    <w:rsid w:val="005A7C4A"/>
    <w:rsid w:val="005B0A1C"/>
    <w:rsid w:val="005B1FF4"/>
    <w:rsid w:val="005C493C"/>
    <w:rsid w:val="005C5682"/>
    <w:rsid w:val="005C77E1"/>
    <w:rsid w:val="005C7FEA"/>
    <w:rsid w:val="005D1FFC"/>
    <w:rsid w:val="005D4A3E"/>
    <w:rsid w:val="005D5F5E"/>
    <w:rsid w:val="005E2F66"/>
    <w:rsid w:val="005E37EF"/>
    <w:rsid w:val="005E53A7"/>
    <w:rsid w:val="005E7139"/>
    <w:rsid w:val="005E7F2E"/>
    <w:rsid w:val="005F1218"/>
    <w:rsid w:val="005F1841"/>
    <w:rsid w:val="005F3245"/>
    <w:rsid w:val="005F3F13"/>
    <w:rsid w:val="005F4641"/>
    <w:rsid w:val="005F5A37"/>
    <w:rsid w:val="00602D0D"/>
    <w:rsid w:val="006040EB"/>
    <w:rsid w:val="00604182"/>
    <w:rsid w:val="006060B1"/>
    <w:rsid w:val="00606AD9"/>
    <w:rsid w:val="00611C06"/>
    <w:rsid w:val="0061419F"/>
    <w:rsid w:val="00614578"/>
    <w:rsid w:val="00615CF6"/>
    <w:rsid w:val="00620821"/>
    <w:rsid w:val="00623B92"/>
    <w:rsid w:val="00624DEC"/>
    <w:rsid w:val="00632A59"/>
    <w:rsid w:val="00636F0B"/>
    <w:rsid w:val="00637A63"/>
    <w:rsid w:val="006420E7"/>
    <w:rsid w:val="00644653"/>
    <w:rsid w:val="00645041"/>
    <w:rsid w:val="00646829"/>
    <w:rsid w:val="00653CA6"/>
    <w:rsid w:val="006548B3"/>
    <w:rsid w:val="00655571"/>
    <w:rsid w:val="00660252"/>
    <w:rsid w:val="006606E7"/>
    <w:rsid w:val="0066317A"/>
    <w:rsid w:val="00664676"/>
    <w:rsid w:val="00667680"/>
    <w:rsid w:val="0067215A"/>
    <w:rsid w:val="0067409D"/>
    <w:rsid w:val="00682E8D"/>
    <w:rsid w:val="00686D7B"/>
    <w:rsid w:val="00687463"/>
    <w:rsid w:val="00693BA4"/>
    <w:rsid w:val="006970F4"/>
    <w:rsid w:val="0069725E"/>
    <w:rsid w:val="00697FF8"/>
    <w:rsid w:val="006A0C17"/>
    <w:rsid w:val="006A0EAB"/>
    <w:rsid w:val="006A1BD2"/>
    <w:rsid w:val="006A2014"/>
    <w:rsid w:val="006A30D6"/>
    <w:rsid w:val="006B082B"/>
    <w:rsid w:val="006B2BF1"/>
    <w:rsid w:val="006B3845"/>
    <w:rsid w:val="006B4F1F"/>
    <w:rsid w:val="006B6826"/>
    <w:rsid w:val="006C064C"/>
    <w:rsid w:val="006C12DF"/>
    <w:rsid w:val="006C329C"/>
    <w:rsid w:val="006C5A5C"/>
    <w:rsid w:val="006C63E1"/>
    <w:rsid w:val="006C71A7"/>
    <w:rsid w:val="006D225B"/>
    <w:rsid w:val="006D5535"/>
    <w:rsid w:val="006D6309"/>
    <w:rsid w:val="006E556D"/>
    <w:rsid w:val="006F01EF"/>
    <w:rsid w:val="006F6D43"/>
    <w:rsid w:val="00710217"/>
    <w:rsid w:val="007120A6"/>
    <w:rsid w:val="00712436"/>
    <w:rsid w:val="00712B05"/>
    <w:rsid w:val="00712BC8"/>
    <w:rsid w:val="00714D56"/>
    <w:rsid w:val="00715112"/>
    <w:rsid w:val="007227A3"/>
    <w:rsid w:val="00726B89"/>
    <w:rsid w:val="007275D1"/>
    <w:rsid w:val="0073296A"/>
    <w:rsid w:val="00737EFE"/>
    <w:rsid w:val="0074041C"/>
    <w:rsid w:val="007430EF"/>
    <w:rsid w:val="00743C05"/>
    <w:rsid w:val="00751B18"/>
    <w:rsid w:val="00754E61"/>
    <w:rsid w:val="0075786C"/>
    <w:rsid w:val="00760BB7"/>
    <w:rsid w:val="007644CC"/>
    <w:rsid w:val="00764994"/>
    <w:rsid w:val="00771119"/>
    <w:rsid w:val="00785106"/>
    <w:rsid w:val="007853BB"/>
    <w:rsid w:val="00786618"/>
    <w:rsid w:val="00786EF9"/>
    <w:rsid w:val="0079201C"/>
    <w:rsid w:val="0079252F"/>
    <w:rsid w:val="0079347D"/>
    <w:rsid w:val="007954A7"/>
    <w:rsid w:val="00796182"/>
    <w:rsid w:val="00797ECE"/>
    <w:rsid w:val="007A0474"/>
    <w:rsid w:val="007A4379"/>
    <w:rsid w:val="007A7F4F"/>
    <w:rsid w:val="007B1785"/>
    <w:rsid w:val="007B3400"/>
    <w:rsid w:val="007B42B0"/>
    <w:rsid w:val="007B4C01"/>
    <w:rsid w:val="007B5171"/>
    <w:rsid w:val="007B5CBE"/>
    <w:rsid w:val="007B5CF9"/>
    <w:rsid w:val="007B796B"/>
    <w:rsid w:val="007B7B31"/>
    <w:rsid w:val="007C1592"/>
    <w:rsid w:val="007C2422"/>
    <w:rsid w:val="007C2DFF"/>
    <w:rsid w:val="007C53E7"/>
    <w:rsid w:val="007D0152"/>
    <w:rsid w:val="007D6D6A"/>
    <w:rsid w:val="007D6EB7"/>
    <w:rsid w:val="007D6EC0"/>
    <w:rsid w:val="007D781C"/>
    <w:rsid w:val="007E0FD1"/>
    <w:rsid w:val="007E3137"/>
    <w:rsid w:val="007E5B03"/>
    <w:rsid w:val="007E70D6"/>
    <w:rsid w:val="007F0D94"/>
    <w:rsid w:val="007F1B79"/>
    <w:rsid w:val="007F2556"/>
    <w:rsid w:val="007F5681"/>
    <w:rsid w:val="007F598E"/>
    <w:rsid w:val="008001F3"/>
    <w:rsid w:val="00800287"/>
    <w:rsid w:val="00800CFC"/>
    <w:rsid w:val="008037B7"/>
    <w:rsid w:val="00805A75"/>
    <w:rsid w:val="00805CD2"/>
    <w:rsid w:val="008065D3"/>
    <w:rsid w:val="00806C43"/>
    <w:rsid w:val="008077C6"/>
    <w:rsid w:val="00810010"/>
    <w:rsid w:val="00810971"/>
    <w:rsid w:val="00813E7A"/>
    <w:rsid w:val="008169AB"/>
    <w:rsid w:val="00820C54"/>
    <w:rsid w:val="0082649F"/>
    <w:rsid w:val="008265EE"/>
    <w:rsid w:val="00831E26"/>
    <w:rsid w:val="0083271E"/>
    <w:rsid w:val="008327EB"/>
    <w:rsid w:val="008357B0"/>
    <w:rsid w:val="00837A72"/>
    <w:rsid w:val="00837FB2"/>
    <w:rsid w:val="00841286"/>
    <w:rsid w:val="00847E33"/>
    <w:rsid w:val="00852294"/>
    <w:rsid w:val="0085247C"/>
    <w:rsid w:val="008556B7"/>
    <w:rsid w:val="0086391D"/>
    <w:rsid w:val="00864FC4"/>
    <w:rsid w:val="00872315"/>
    <w:rsid w:val="00872C20"/>
    <w:rsid w:val="00875649"/>
    <w:rsid w:val="00880A43"/>
    <w:rsid w:val="0088201A"/>
    <w:rsid w:val="0088373D"/>
    <w:rsid w:val="00885655"/>
    <w:rsid w:val="00887EA0"/>
    <w:rsid w:val="00890B2B"/>
    <w:rsid w:val="00891D43"/>
    <w:rsid w:val="008930BE"/>
    <w:rsid w:val="008973B9"/>
    <w:rsid w:val="008A1BBB"/>
    <w:rsid w:val="008A66AB"/>
    <w:rsid w:val="008B107C"/>
    <w:rsid w:val="008B4FCE"/>
    <w:rsid w:val="008B6222"/>
    <w:rsid w:val="008B691B"/>
    <w:rsid w:val="008C3949"/>
    <w:rsid w:val="008C3FDB"/>
    <w:rsid w:val="008C5B65"/>
    <w:rsid w:val="008D41DE"/>
    <w:rsid w:val="008E0515"/>
    <w:rsid w:val="008E3AAD"/>
    <w:rsid w:val="008F188D"/>
    <w:rsid w:val="008F210A"/>
    <w:rsid w:val="008F29E2"/>
    <w:rsid w:val="008F2BC2"/>
    <w:rsid w:val="008F3774"/>
    <w:rsid w:val="008F5FEA"/>
    <w:rsid w:val="008F66ED"/>
    <w:rsid w:val="00902379"/>
    <w:rsid w:val="009142BA"/>
    <w:rsid w:val="00914D88"/>
    <w:rsid w:val="00922C69"/>
    <w:rsid w:val="00927BA8"/>
    <w:rsid w:val="009310EC"/>
    <w:rsid w:val="0093132D"/>
    <w:rsid w:val="0093212C"/>
    <w:rsid w:val="00934186"/>
    <w:rsid w:val="0094042D"/>
    <w:rsid w:val="00940A1E"/>
    <w:rsid w:val="00941A0C"/>
    <w:rsid w:val="00942790"/>
    <w:rsid w:val="00942E1A"/>
    <w:rsid w:val="00943430"/>
    <w:rsid w:val="00955C31"/>
    <w:rsid w:val="009567D8"/>
    <w:rsid w:val="00962256"/>
    <w:rsid w:val="00963C20"/>
    <w:rsid w:val="009657CB"/>
    <w:rsid w:val="009732AF"/>
    <w:rsid w:val="009772C9"/>
    <w:rsid w:val="00981B88"/>
    <w:rsid w:val="009858D9"/>
    <w:rsid w:val="00991FE6"/>
    <w:rsid w:val="00993049"/>
    <w:rsid w:val="009A0AAB"/>
    <w:rsid w:val="009A570C"/>
    <w:rsid w:val="009A616A"/>
    <w:rsid w:val="009A6254"/>
    <w:rsid w:val="009B2AEA"/>
    <w:rsid w:val="009B2BEC"/>
    <w:rsid w:val="009B4534"/>
    <w:rsid w:val="009B5682"/>
    <w:rsid w:val="009C2E52"/>
    <w:rsid w:val="009C43B2"/>
    <w:rsid w:val="009C470A"/>
    <w:rsid w:val="009C49AD"/>
    <w:rsid w:val="009D27F9"/>
    <w:rsid w:val="009D4192"/>
    <w:rsid w:val="009E2015"/>
    <w:rsid w:val="009E257B"/>
    <w:rsid w:val="009E4908"/>
    <w:rsid w:val="009E706E"/>
    <w:rsid w:val="00A03C4C"/>
    <w:rsid w:val="00A0532F"/>
    <w:rsid w:val="00A12C77"/>
    <w:rsid w:val="00A139ED"/>
    <w:rsid w:val="00A13EBF"/>
    <w:rsid w:val="00A15970"/>
    <w:rsid w:val="00A2001E"/>
    <w:rsid w:val="00A2091D"/>
    <w:rsid w:val="00A213F8"/>
    <w:rsid w:val="00A22870"/>
    <w:rsid w:val="00A22CBA"/>
    <w:rsid w:val="00A2682E"/>
    <w:rsid w:val="00A26BE7"/>
    <w:rsid w:val="00A30B21"/>
    <w:rsid w:val="00A41ED2"/>
    <w:rsid w:val="00A46C04"/>
    <w:rsid w:val="00A46C6E"/>
    <w:rsid w:val="00A5239A"/>
    <w:rsid w:val="00A5365B"/>
    <w:rsid w:val="00A53768"/>
    <w:rsid w:val="00A54FD1"/>
    <w:rsid w:val="00A6021D"/>
    <w:rsid w:val="00A656E4"/>
    <w:rsid w:val="00A67A48"/>
    <w:rsid w:val="00A67A74"/>
    <w:rsid w:val="00A72638"/>
    <w:rsid w:val="00A72903"/>
    <w:rsid w:val="00A72F92"/>
    <w:rsid w:val="00A75F89"/>
    <w:rsid w:val="00A776F6"/>
    <w:rsid w:val="00A82771"/>
    <w:rsid w:val="00A83084"/>
    <w:rsid w:val="00A832F3"/>
    <w:rsid w:val="00A926E3"/>
    <w:rsid w:val="00A9346F"/>
    <w:rsid w:val="00A95BA6"/>
    <w:rsid w:val="00A95E5D"/>
    <w:rsid w:val="00A97B8E"/>
    <w:rsid w:val="00AA5EF3"/>
    <w:rsid w:val="00AB1916"/>
    <w:rsid w:val="00AB3597"/>
    <w:rsid w:val="00AB565F"/>
    <w:rsid w:val="00AB5A44"/>
    <w:rsid w:val="00AC0AB1"/>
    <w:rsid w:val="00AC1FAB"/>
    <w:rsid w:val="00AC5E43"/>
    <w:rsid w:val="00AC5E48"/>
    <w:rsid w:val="00AD59F9"/>
    <w:rsid w:val="00AD5DAC"/>
    <w:rsid w:val="00AD6676"/>
    <w:rsid w:val="00AE195C"/>
    <w:rsid w:val="00AE2594"/>
    <w:rsid w:val="00AE5DBF"/>
    <w:rsid w:val="00AE5E6E"/>
    <w:rsid w:val="00AF0CBB"/>
    <w:rsid w:val="00AF1394"/>
    <w:rsid w:val="00AF4EBD"/>
    <w:rsid w:val="00B000DC"/>
    <w:rsid w:val="00B023E4"/>
    <w:rsid w:val="00B031E4"/>
    <w:rsid w:val="00B04971"/>
    <w:rsid w:val="00B05D33"/>
    <w:rsid w:val="00B073A2"/>
    <w:rsid w:val="00B07CF8"/>
    <w:rsid w:val="00B11108"/>
    <w:rsid w:val="00B134A5"/>
    <w:rsid w:val="00B1383D"/>
    <w:rsid w:val="00B1529B"/>
    <w:rsid w:val="00B16990"/>
    <w:rsid w:val="00B20F99"/>
    <w:rsid w:val="00B23A97"/>
    <w:rsid w:val="00B24DF1"/>
    <w:rsid w:val="00B25FD8"/>
    <w:rsid w:val="00B26544"/>
    <w:rsid w:val="00B34E72"/>
    <w:rsid w:val="00B35195"/>
    <w:rsid w:val="00B40237"/>
    <w:rsid w:val="00B41677"/>
    <w:rsid w:val="00B521D5"/>
    <w:rsid w:val="00B53113"/>
    <w:rsid w:val="00B573D6"/>
    <w:rsid w:val="00B578DB"/>
    <w:rsid w:val="00B57BEB"/>
    <w:rsid w:val="00B61801"/>
    <w:rsid w:val="00B61B60"/>
    <w:rsid w:val="00B61D5E"/>
    <w:rsid w:val="00B6360B"/>
    <w:rsid w:val="00B652C8"/>
    <w:rsid w:val="00B67F9B"/>
    <w:rsid w:val="00B706D6"/>
    <w:rsid w:val="00B72E82"/>
    <w:rsid w:val="00B7305A"/>
    <w:rsid w:val="00B73836"/>
    <w:rsid w:val="00B75028"/>
    <w:rsid w:val="00B75594"/>
    <w:rsid w:val="00B83432"/>
    <w:rsid w:val="00B867A8"/>
    <w:rsid w:val="00B86DFA"/>
    <w:rsid w:val="00B93094"/>
    <w:rsid w:val="00B943DE"/>
    <w:rsid w:val="00B94768"/>
    <w:rsid w:val="00BA0328"/>
    <w:rsid w:val="00BA1667"/>
    <w:rsid w:val="00BA3579"/>
    <w:rsid w:val="00BA3C23"/>
    <w:rsid w:val="00BA4CED"/>
    <w:rsid w:val="00BA4E7C"/>
    <w:rsid w:val="00BA5537"/>
    <w:rsid w:val="00BA5CF1"/>
    <w:rsid w:val="00BA6262"/>
    <w:rsid w:val="00BA6BEB"/>
    <w:rsid w:val="00BA6FF6"/>
    <w:rsid w:val="00BA7DAD"/>
    <w:rsid w:val="00BA7EF8"/>
    <w:rsid w:val="00BB0860"/>
    <w:rsid w:val="00BB1B89"/>
    <w:rsid w:val="00BB1C2E"/>
    <w:rsid w:val="00BC0F2B"/>
    <w:rsid w:val="00BC4248"/>
    <w:rsid w:val="00BC4605"/>
    <w:rsid w:val="00BC4B2C"/>
    <w:rsid w:val="00BC6118"/>
    <w:rsid w:val="00BC731D"/>
    <w:rsid w:val="00BD1CBC"/>
    <w:rsid w:val="00BD275D"/>
    <w:rsid w:val="00BD28B4"/>
    <w:rsid w:val="00BD2A40"/>
    <w:rsid w:val="00BD2FD6"/>
    <w:rsid w:val="00BD4552"/>
    <w:rsid w:val="00BE12A7"/>
    <w:rsid w:val="00BE240B"/>
    <w:rsid w:val="00BE4DAD"/>
    <w:rsid w:val="00BE5484"/>
    <w:rsid w:val="00BE74A2"/>
    <w:rsid w:val="00BF572D"/>
    <w:rsid w:val="00C03125"/>
    <w:rsid w:val="00C0380A"/>
    <w:rsid w:val="00C04985"/>
    <w:rsid w:val="00C0718B"/>
    <w:rsid w:val="00C10716"/>
    <w:rsid w:val="00C139BC"/>
    <w:rsid w:val="00C13F43"/>
    <w:rsid w:val="00C14800"/>
    <w:rsid w:val="00C150FF"/>
    <w:rsid w:val="00C20E3A"/>
    <w:rsid w:val="00C23DBB"/>
    <w:rsid w:val="00C24184"/>
    <w:rsid w:val="00C241F3"/>
    <w:rsid w:val="00C24B8C"/>
    <w:rsid w:val="00C24D71"/>
    <w:rsid w:val="00C2547D"/>
    <w:rsid w:val="00C25D46"/>
    <w:rsid w:val="00C3256B"/>
    <w:rsid w:val="00C326F6"/>
    <w:rsid w:val="00C3629C"/>
    <w:rsid w:val="00C36984"/>
    <w:rsid w:val="00C37EC4"/>
    <w:rsid w:val="00C42AA6"/>
    <w:rsid w:val="00C44C60"/>
    <w:rsid w:val="00C53323"/>
    <w:rsid w:val="00C54D5A"/>
    <w:rsid w:val="00C60C6E"/>
    <w:rsid w:val="00C6546E"/>
    <w:rsid w:val="00C70D21"/>
    <w:rsid w:val="00C7449B"/>
    <w:rsid w:val="00C83B9F"/>
    <w:rsid w:val="00C851F3"/>
    <w:rsid w:val="00C860DF"/>
    <w:rsid w:val="00C861A9"/>
    <w:rsid w:val="00C96194"/>
    <w:rsid w:val="00CA003E"/>
    <w:rsid w:val="00CA279F"/>
    <w:rsid w:val="00CB3DAD"/>
    <w:rsid w:val="00CB6975"/>
    <w:rsid w:val="00CC0AB8"/>
    <w:rsid w:val="00CC0FF9"/>
    <w:rsid w:val="00CC2C46"/>
    <w:rsid w:val="00CC4AB1"/>
    <w:rsid w:val="00CD20E9"/>
    <w:rsid w:val="00CD31E6"/>
    <w:rsid w:val="00CD38A6"/>
    <w:rsid w:val="00CD4A57"/>
    <w:rsid w:val="00CE0744"/>
    <w:rsid w:val="00CE254F"/>
    <w:rsid w:val="00CE2703"/>
    <w:rsid w:val="00CE278E"/>
    <w:rsid w:val="00CE48B6"/>
    <w:rsid w:val="00CF1A3B"/>
    <w:rsid w:val="00CF1D28"/>
    <w:rsid w:val="00CF1EDE"/>
    <w:rsid w:val="00CF30E3"/>
    <w:rsid w:val="00CF362A"/>
    <w:rsid w:val="00CF4F10"/>
    <w:rsid w:val="00D00BA1"/>
    <w:rsid w:val="00D071A6"/>
    <w:rsid w:val="00D10E7E"/>
    <w:rsid w:val="00D129FB"/>
    <w:rsid w:val="00D15F93"/>
    <w:rsid w:val="00D178FC"/>
    <w:rsid w:val="00D2044C"/>
    <w:rsid w:val="00D22BC3"/>
    <w:rsid w:val="00D27829"/>
    <w:rsid w:val="00D30D5D"/>
    <w:rsid w:val="00D30E9D"/>
    <w:rsid w:val="00D41105"/>
    <w:rsid w:val="00D43DC7"/>
    <w:rsid w:val="00D47F2C"/>
    <w:rsid w:val="00D51B16"/>
    <w:rsid w:val="00D53F30"/>
    <w:rsid w:val="00D6042A"/>
    <w:rsid w:val="00D60943"/>
    <w:rsid w:val="00D6252D"/>
    <w:rsid w:val="00D72C01"/>
    <w:rsid w:val="00D75773"/>
    <w:rsid w:val="00D80AA2"/>
    <w:rsid w:val="00D82050"/>
    <w:rsid w:val="00D92166"/>
    <w:rsid w:val="00D93BB7"/>
    <w:rsid w:val="00DA030A"/>
    <w:rsid w:val="00DA1D52"/>
    <w:rsid w:val="00DA4C4F"/>
    <w:rsid w:val="00DA5606"/>
    <w:rsid w:val="00DB1F5F"/>
    <w:rsid w:val="00DB25C0"/>
    <w:rsid w:val="00DB2CF8"/>
    <w:rsid w:val="00DB350E"/>
    <w:rsid w:val="00DB41F3"/>
    <w:rsid w:val="00DB4FDC"/>
    <w:rsid w:val="00DB5DAB"/>
    <w:rsid w:val="00DB6AC1"/>
    <w:rsid w:val="00DB749A"/>
    <w:rsid w:val="00DC0189"/>
    <w:rsid w:val="00DC2995"/>
    <w:rsid w:val="00DC4CFD"/>
    <w:rsid w:val="00DD0A30"/>
    <w:rsid w:val="00DD2F8B"/>
    <w:rsid w:val="00DD4E4D"/>
    <w:rsid w:val="00DD6A56"/>
    <w:rsid w:val="00DD7E2E"/>
    <w:rsid w:val="00DE4A9C"/>
    <w:rsid w:val="00DE5EBC"/>
    <w:rsid w:val="00DE6FD0"/>
    <w:rsid w:val="00DF03E8"/>
    <w:rsid w:val="00DF4E41"/>
    <w:rsid w:val="00E0166D"/>
    <w:rsid w:val="00E04152"/>
    <w:rsid w:val="00E05691"/>
    <w:rsid w:val="00E070D6"/>
    <w:rsid w:val="00E07B24"/>
    <w:rsid w:val="00E07EF0"/>
    <w:rsid w:val="00E10142"/>
    <w:rsid w:val="00E116FE"/>
    <w:rsid w:val="00E1357D"/>
    <w:rsid w:val="00E135DD"/>
    <w:rsid w:val="00E248E2"/>
    <w:rsid w:val="00E249A6"/>
    <w:rsid w:val="00E257F2"/>
    <w:rsid w:val="00E26A77"/>
    <w:rsid w:val="00E26CAB"/>
    <w:rsid w:val="00E37826"/>
    <w:rsid w:val="00E40AA5"/>
    <w:rsid w:val="00E40E06"/>
    <w:rsid w:val="00E41742"/>
    <w:rsid w:val="00E44B11"/>
    <w:rsid w:val="00E44FCD"/>
    <w:rsid w:val="00E47767"/>
    <w:rsid w:val="00E519B5"/>
    <w:rsid w:val="00E53B61"/>
    <w:rsid w:val="00E5638B"/>
    <w:rsid w:val="00E6205E"/>
    <w:rsid w:val="00E62B8D"/>
    <w:rsid w:val="00E64D34"/>
    <w:rsid w:val="00E65F58"/>
    <w:rsid w:val="00E70B47"/>
    <w:rsid w:val="00E73866"/>
    <w:rsid w:val="00E75182"/>
    <w:rsid w:val="00E76B8D"/>
    <w:rsid w:val="00E76D11"/>
    <w:rsid w:val="00E92EF3"/>
    <w:rsid w:val="00E939D6"/>
    <w:rsid w:val="00EA170E"/>
    <w:rsid w:val="00EA1EBE"/>
    <w:rsid w:val="00EA2328"/>
    <w:rsid w:val="00EA26FF"/>
    <w:rsid w:val="00EA4352"/>
    <w:rsid w:val="00EA4B1D"/>
    <w:rsid w:val="00EA4ED3"/>
    <w:rsid w:val="00EA4EF3"/>
    <w:rsid w:val="00EA5197"/>
    <w:rsid w:val="00EA6A6F"/>
    <w:rsid w:val="00EA6D17"/>
    <w:rsid w:val="00EA7FD8"/>
    <w:rsid w:val="00EB42A9"/>
    <w:rsid w:val="00EB5A73"/>
    <w:rsid w:val="00EB6715"/>
    <w:rsid w:val="00EC14C8"/>
    <w:rsid w:val="00EC19B5"/>
    <w:rsid w:val="00EC346E"/>
    <w:rsid w:val="00EC3BDC"/>
    <w:rsid w:val="00EC3C05"/>
    <w:rsid w:val="00EC7098"/>
    <w:rsid w:val="00EC7D0F"/>
    <w:rsid w:val="00ED02E5"/>
    <w:rsid w:val="00ED32AC"/>
    <w:rsid w:val="00ED3B29"/>
    <w:rsid w:val="00ED46F8"/>
    <w:rsid w:val="00EE2246"/>
    <w:rsid w:val="00EE2D8F"/>
    <w:rsid w:val="00EE78BD"/>
    <w:rsid w:val="00EF15C6"/>
    <w:rsid w:val="00EF2B57"/>
    <w:rsid w:val="00EF2C4A"/>
    <w:rsid w:val="00EF2E49"/>
    <w:rsid w:val="00EF44CA"/>
    <w:rsid w:val="00EF47B2"/>
    <w:rsid w:val="00EF558F"/>
    <w:rsid w:val="00EF566F"/>
    <w:rsid w:val="00EF73A2"/>
    <w:rsid w:val="00F017F8"/>
    <w:rsid w:val="00F02B58"/>
    <w:rsid w:val="00F03604"/>
    <w:rsid w:val="00F05FE6"/>
    <w:rsid w:val="00F105B8"/>
    <w:rsid w:val="00F230C7"/>
    <w:rsid w:val="00F24C18"/>
    <w:rsid w:val="00F30CE0"/>
    <w:rsid w:val="00F30DD8"/>
    <w:rsid w:val="00F315D3"/>
    <w:rsid w:val="00F33E9B"/>
    <w:rsid w:val="00F35A41"/>
    <w:rsid w:val="00F36F3D"/>
    <w:rsid w:val="00F379A5"/>
    <w:rsid w:val="00F37E16"/>
    <w:rsid w:val="00F402BD"/>
    <w:rsid w:val="00F43531"/>
    <w:rsid w:val="00F54676"/>
    <w:rsid w:val="00F55CA4"/>
    <w:rsid w:val="00F5667D"/>
    <w:rsid w:val="00F6056B"/>
    <w:rsid w:val="00F6769F"/>
    <w:rsid w:val="00F67FC3"/>
    <w:rsid w:val="00F702C2"/>
    <w:rsid w:val="00F73766"/>
    <w:rsid w:val="00F8079C"/>
    <w:rsid w:val="00F844AB"/>
    <w:rsid w:val="00F87A55"/>
    <w:rsid w:val="00F87DB0"/>
    <w:rsid w:val="00F90794"/>
    <w:rsid w:val="00F95DDA"/>
    <w:rsid w:val="00FA0243"/>
    <w:rsid w:val="00FA2056"/>
    <w:rsid w:val="00FA4463"/>
    <w:rsid w:val="00FA4A37"/>
    <w:rsid w:val="00FA65FF"/>
    <w:rsid w:val="00FA7575"/>
    <w:rsid w:val="00FB077E"/>
    <w:rsid w:val="00FB1967"/>
    <w:rsid w:val="00FB276F"/>
    <w:rsid w:val="00FB4328"/>
    <w:rsid w:val="00FB4EE0"/>
    <w:rsid w:val="00FB7440"/>
    <w:rsid w:val="00FC30DF"/>
    <w:rsid w:val="00FC5BD0"/>
    <w:rsid w:val="00FD16A4"/>
    <w:rsid w:val="00FD2757"/>
    <w:rsid w:val="00FD3013"/>
    <w:rsid w:val="00FD3534"/>
    <w:rsid w:val="00FD6641"/>
    <w:rsid w:val="00FD7B1F"/>
    <w:rsid w:val="00FE0A2C"/>
    <w:rsid w:val="00FE2EDF"/>
    <w:rsid w:val="00FE4618"/>
    <w:rsid w:val="00FE5116"/>
    <w:rsid w:val="00FE54C9"/>
    <w:rsid w:val="00FF011F"/>
    <w:rsid w:val="00FF0F16"/>
    <w:rsid w:val="018B4DB9"/>
    <w:rsid w:val="01BC2C11"/>
    <w:rsid w:val="01D15760"/>
    <w:rsid w:val="02426A95"/>
    <w:rsid w:val="02471184"/>
    <w:rsid w:val="02BA76B6"/>
    <w:rsid w:val="02FA0266"/>
    <w:rsid w:val="033B112E"/>
    <w:rsid w:val="041F6361"/>
    <w:rsid w:val="04D6257B"/>
    <w:rsid w:val="052E1A20"/>
    <w:rsid w:val="053B4FCD"/>
    <w:rsid w:val="056F72B2"/>
    <w:rsid w:val="05947F32"/>
    <w:rsid w:val="05952683"/>
    <w:rsid w:val="05AD6E66"/>
    <w:rsid w:val="06524F3A"/>
    <w:rsid w:val="073C3FFA"/>
    <w:rsid w:val="0776738C"/>
    <w:rsid w:val="07E66656"/>
    <w:rsid w:val="0806214A"/>
    <w:rsid w:val="08295BC8"/>
    <w:rsid w:val="08525F7C"/>
    <w:rsid w:val="087D03D5"/>
    <w:rsid w:val="08BC045E"/>
    <w:rsid w:val="08E747FD"/>
    <w:rsid w:val="09D02515"/>
    <w:rsid w:val="0A6B3EC7"/>
    <w:rsid w:val="0A98548F"/>
    <w:rsid w:val="0B3A63C3"/>
    <w:rsid w:val="0B5164BB"/>
    <w:rsid w:val="0B5F5BAF"/>
    <w:rsid w:val="0B7C6296"/>
    <w:rsid w:val="0B997259"/>
    <w:rsid w:val="0BEE076D"/>
    <w:rsid w:val="0C0C530D"/>
    <w:rsid w:val="0CBC1DD3"/>
    <w:rsid w:val="0CD30126"/>
    <w:rsid w:val="0D2C37D2"/>
    <w:rsid w:val="0D4A0976"/>
    <w:rsid w:val="0D725C07"/>
    <w:rsid w:val="0DDC375C"/>
    <w:rsid w:val="0E2A0821"/>
    <w:rsid w:val="0E7221C0"/>
    <w:rsid w:val="0E74071A"/>
    <w:rsid w:val="0EA86356"/>
    <w:rsid w:val="0F115710"/>
    <w:rsid w:val="0F5E33CA"/>
    <w:rsid w:val="0F8C75F8"/>
    <w:rsid w:val="0FC70B47"/>
    <w:rsid w:val="0FD50D3F"/>
    <w:rsid w:val="102C538C"/>
    <w:rsid w:val="10804898"/>
    <w:rsid w:val="10846241"/>
    <w:rsid w:val="110B357A"/>
    <w:rsid w:val="111057DA"/>
    <w:rsid w:val="11401AFE"/>
    <w:rsid w:val="115E4D85"/>
    <w:rsid w:val="11A00ED3"/>
    <w:rsid w:val="12371DB6"/>
    <w:rsid w:val="12447253"/>
    <w:rsid w:val="125F278B"/>
    <w:rsid w:val="128012F7"/>
    <w:rsid w:val="12854529"/>
    <w:rsid w:val="13747B3A"/>
    <w:rsid w:val="13A370A0"/>
    <w:rsid w:val="13C21567"/>
    <w:rsid w:val="13E03ACE"/>
    <w:rsid w:val="14214308"/>
    <w:rsid w:val="1459423D"/>
    <w:rsid w:val="14B97425"/>
    <w:rsid w:val="14D22726"/>
    <w:rsid w:val="14D83943"/>
    <w:rsid w:val="14F51DB8"/>
    <w:rsid w:val="158E0C69"/>
    <w:rsid w:val="16173D47"/>
    <w:rsid w:val="165C1C6A"/>
    <w:rsid w:val="168150FF"/>
    <w:rsid w:val="16A161A4"/>
    <w:rsid w:val="17102CE5"/>
    <w:rsid w:val="174E2DA2"/>
    <w:rsid w:val="175D1AF1"/>
    <w:rsid w:val="17693EDD"/>
    <w:rsid w:val="177A3D6C"/>
    <w:rsid w:val="17AD7D00"/>
    <w:rsid w:val="17DB2C12"/>
    <w:rsid w:val="18353306"/>
    <w:rsid w:val="1995784C"/>
    <w:rsid w:val="19965E95"/>
    <w:rsid w:val="199C2ACC"/>
    <w:rsid w:val="19DB551C"/>
    <w:rsid w:val="1AD62251"/>
    <w:rsid w:val="1AF678DE"/>
    <w:rsid w:val="1B061525"/>
    <w:rsid w:val="1B0D4E27"/>
    <w:rsid w:val="1B1E6EA6"/>
    <w:rsid w:val="1B4E5D8C"/>
    <w:rsid w:val="1BAA6F8D"/>
    <w:rsid w:val="1BED3C2D"/>
    <w:rsid w:val="1C0C3655"/>
    <w:rsid w:val="1C224084"/>
    <w:rsid w:val="1C2824D2"/>
    <w:rsid w:val="1C2E7062"/>
    <w:rsid w:val="1D030639"/>
    <w:rsid w:val="1D130AFA"/>
    <w:rsid w:val="1D270CF3"/>
    <w:rsid w:val="1D536ACE"/>
    <w:rsid w:val="1D667727"/>
    <w:rsid w:val="1D7A7C1B"/>
    <w:rsid w:val="1DE07710"/>
    <w:rsid w:val="1E262A40"/>
    <w:rsid w:val="1E776530"/>
    <w:rsid w:val="1E964428"/>
    <w:rsid w:val="1F681F5E"/>
    <w:rsid w:val="1F9B2DCE"/>
    <w:rsid w:val="1FBF6910"/>
    <w:rsid w:val="1FF459FB"/>
    <w:rsid w:val="205C252F"/>
    <w:rsid w:val="20673125"/>
    <w:rsid w:val="20E92B07"/>
    <w:rsid w:val="211C1B9A"/>
    <w:rsid w:val="21320634"/>
    <w:rsid w:val="216B1234"/>
    <w:rsid w:val="22647992"/>
    <w:rsid w:val="2376444E"/>
    <w:rsid w:val="237B1537"/>
    <w:rsid w:val="23DC2366"/>
    <w:rsid w:val="23F8626D"/>
    <w:rsid w:val="24280F1A"/>
    <w:rsid w:val="2458652D"/>
    <w:rsid w:val="24743AE2"/>
    <w:rsid w:val="24892210"/>
    <w:rsid w:val="24FB0C4E"/>
    <w:rsid w:val="251B2550"/>
    <w:rsid w:val="25204CEA"/>
    <w:rsid w:val="25E743D4"/>
    <w:rsid w:val="25FB613A"/>
    <w:rsid w:val="266E1A1B"/>
    <w:rsid w:val="26744B6F"/>
    <w:rsid w:val="26881AD7"/>
    <w:rsid w:val="26A93C6B"/>
    <w:rsid w:val="26CA3E00"/>
    <w:rsid w:val="26FF41C8"/>
    <w:rsid w:val="27003B47"/>
    <w:rsid w:val="27287836"/>
    <w:rsid w:val="273E05E2"/>
    <w:rsid w:val="276E1397"/>
    <w:rsid w:val="27BA2648"/>
    <w:rsid w:val="27C15ED8"/>
    <w:rsid w:val="27C32106"/>
    <w:rsid w:val="27CA0294"/>
    <w:rsid w:val="27D06D77"/>
    <w:rsid w:val="2809656F"/>
    <w:rsid w:val="281B1AC4"/>
    <w:rsid w:val="284A434E"/>
    <w:rsid w:val="28854679"/>
    <w:rsid w:val="289A3075"/>
    <w:rsid w:val="28E00739"/>
    <w:rsid w:val="28F965D8"/>
    <w:rsid w:val="299512F6"/>
    <w:rsid w:val="29A974EA"/>
    <w:rsid w:val="29D249D1"/>
    <w:rsid w:val="2A2745F6"/>
    <w:rsid w:val="2AC33130"/>
    <w:rsid w:val="2AC63701"/>
    <w:rsid w:val="2B221E6C"/>
    <w:rsid w:val="2B43574C"/>
    <w:rsid w:val="2B9C6445"/>
    <w:rsid w:val="2BF04CA7"/>
    <w:rsid w:val="2C1752F1"/>
    <w:rsid w:val="2C567A67"/>
    <w:rsid w:val="2C585401"/>
    <w:rsid w:val="2C724623"/>
    <w:rsid w:val="2CB34376"/>
    <w:rsid w:val="2D203553"/>
    <w:rsid w:val="2D316CCC"/>
    <w:rsid w:val="2D662694"/>
    <w:rsid w:val="2D7E6146"/>
    <w:rsid w:val="2D912B7F"/>
    <w:rsid w:val="2DA5669F"/>
    <w:rsid w:val="2DBA7AB7"/>
    <w:rsid w:val="2E0B1DE9"/>
    <w:rsid w:val="2E4A01C5"/>
    <w:rsid w:val="2E807DBE"/>
    <w:rsid w:val="2E8C2A63"/>
    <w:rsid w:val="2EA372EF"/>
    <w:rsid w:val="2EB741A2"/>
    <w:rsid w:val="2EFA63AF"/>
    <w:rsid w:val="2F2D2840"/>
    <w:rsid w:val="2F3B0133"/>
    <w:rsid w:val="2F560D2C"/>
    <w:rsid w:val="2F7F3340"/>
    <w:rsid w:val="2FAE40F7"/>
    <w:rsid w:val="2FFDCE6E"/>
    <w:rsid w:val="3033688C"/>
    <w:rsid w:val="30547DB8"/>
    <w:rsid w:val="305C0E06"/>
    <w:rsid w:val="30A84480"/>
    <w:rsid w:val="30FD27A3"/>
    <w:rsid w:val="310A5DBE"/>
    <w:rsid w:val="313D3BA2"/>
    <w:rsid w:val="31782545"/>
    <w:rsid w:val="317B6724"/>
    <w:rsid w:val="317D121A"/>
    <w:rsid w:val="31970E34"/>
    <w:rsid w:val="323D3FC3"/>
    <w:rsid w:val="32402B21"/>
    <w:rsid w:val="326B25A2"/>
    <w:rsid w:val="32F72A14"/>
    <w:rsid w:val="33EB16D4"/>
    <w:rsid w:val="343765AB"/>
    <w:rsid w:val="34414ED8"/>
    <w:rsid w:val="34D1284C"/>
    <w:rsid w:val="357D781F"/>
    <w:rsid w:val="35B72891"/>
    <w:rsid w:val="35BB59E4"/>
    <w:rsid w:val="35DF115F"/>
    <w:rsid w:val="36327579"/>
    <w:rsid w:val="365C3967"/>
    <w:rsid w:val="36710EB8"/>
    <w:rsid w:val="36E109BE"/>
    <w:rsid w:val="374F49E2"/>
    <w:rsid w:val="376550C6"/>
    <w:rsid w:val="38241815"/>
    <w:rsid w:val="38663E0F"/>
    <w:rsid w:val="396817E2"/>
    <w:rsid w:val="39F20EB9"/>
    <w:rsid w:val="3A64492B"/>
    <w:rsid w:val="3B53513D"/>
    <w:rsid w:val="3BEF1548"/>
    <w:rsid w:val="3BF417E0"/>
    <w:rsid w:val="3C002568"/>
    <w:rsid w:val="3C380C15"/>
    <w:rsid w:val="3C3B61B2"/>
    <w:rsid w:val="3C502AB9"/>
    <w:rsid w:val="3D70125D"/>
    <w:rsid w:val="3E1209F2"/>
    <w:rsid w:val="3E6A31FF"/>
    <w:rsid w:val="3E7ECD62"/>
    <w:rsid w:val="3EB60390"/>
    <w:rsid w:val="3ED966E5"/>
    <w:rsid w:val="3EE33C5D"/>
    <w:rsid w:val="3F051A00"/>
    <w:rsid w:val="3F7B4ABB"/>
    <w:rsid w:val="3FA6016D"/>
    <w:rsid w:val="40324B88"/>
    <w:rsid w:val="404D1BD8"/>
    <w:rsid w:val="40540D61"/>
    <w:rsid w:val="40661D7F"/>
    <w:rsid w:val="40977472"/>
    <w:rsid w:val="40ED1336"/>
    <w:rsid w:val="40F30A96"/>
    <w:rsid w:val="418F1173"/>
    <w:rsid w:val="41C75D8A"/>
    <w:rsid w:val="424C460F"/>
    <w:rsid w:val="4285168A"/>
    <w:rsid w:val="42EB734B"/>
    <w:rsid w:val="43FB6C39"/>
    <w:rsid w:val="44E80907"/>
    <w:rsid w:val="452A3818"/>
    <w:rsid w:val="452F628B"/>
    <w:rsid w:val="456E648F"/>
    <w:rsid w:val="45C508B0"/>
    <w:rsid w:val="45CF18D2"/>
    <w:rsid w:val="461065BA"/>
    <w:rsid w:val="469022D1"/>
    <w:rsid w:val="46AB3D21"/>
    <w:rsid w:val="476D20AC"/>
    <w:rsid w:val="47A9546D"/>
    <w:rsid w:val="48027D7D"/>
    <w:rsid w:val="48054B57"/>
    <w:rsid w:val="48602A03"/>
    <w:rsid w:val="487A2D87"/>
    <w:rsid w:val="48EF1681"/>
    <w:rsid w:val="48F610E3"/>
    <w:rsid w:val="491F4760"/>
    <w:rsid w:val="495C6828"/>
    <w:rsid w:val="49626763"/>
    <w:rsid w:val="497B72B8"/>
    <w:rsid w:val="4A312AD9"/>
    <w:rsid w:val="4A892A7D"/>
    <w:rsid w:val="4A8D6640"/>
    <w:rsid w:val="4AC85CAD"/>
    <w:rsid w:val="4AE7226C"/>
    <w:rsid w:val="4B8941C9"/>
    <w:rsid w:val="4BA45EFD"/>
    <w:rsid w:val="4BA77D5D"/>
    <w:rsid w:val="4C246F76"/>
    <w:rsid w:val="4CC27BA1"/>
    <w:rsid w:val="4D477990"/>
    <w:rsid w:val="4D4C4140"/>
    <w:rsid w:val="4D541870"/>
    <w:rsid w:val="4D7A21C6"/>
    <w:rsid w:val="4DF0384D"/>
    <w:rsid w:val="4E2B6BCF"/>
    <w:rsid w:val="4EA83656"/>
    <w:rsid w:val="4EAA7904"/>
    <w:rsid w:val="4F0608E8"/>
    <w:rsid w:val="4F214B25"/>
    <w:rsid w:val="4F41292A"/>
    <w:rsid w:val="501A73E7"/>
    <w:rsid w:val="50ED018A"/>
    <w:rsid w:val="510C482C"/>
    <w:rsid w:val="512E551E"/>
    <w:rsid w:val="513A4CF7"/>
    <w:rsid w:val="51975654"/>
    <w:rsid w:val="51B101F0"/>
    <w:rsid w:val="51B5611A"/>
    <w:rsid w:val="51D07D5D"/>
    <w:rsid w:val="52467D3A"/>
    <w:rsid w:val="52D41FF5"/>
    <w:rsid w:val="531F5B3B"/>
    <w:rsid w:val="538812EF"/>
    <w:rsid w:val="53D367C4"/>
    <w:rsid w:val="53E843DA"/>
    <w:rsid w:val="540B141F"/>
    <w:rsid w:val="540F5EBF"/>
    <w:rsid w:val="54D74A98"/>
    <w:rsid w:val="54EC02F7"/>
    <w:rsid w:val="55C5643D"/>
    <w:rsid w:val="561F5963"/>
    <w:rsid w:val="562D3202"/>
    <w:rsid w:val="567C5693"/>
    <w:rsid w:val="57362179"/>
    <w:rsid w:val="573E5EBC"/>
    <w:rsid w:val="574E0522"/>
    <w:rsid w:val="577E2B2D"/>
    <w:rsid w:val="57C844D6"/>
    <w:rsid w:val="57FE09CE"/>
    <w:rsid w:val="58361593"/>
    <w:rsid w:val="588E7F83"/>
    <w:rsid w:val="593400E1"/>
    <w:rsid w:val="598D50D4"/>
    <w:rsid w:val="59D042A6"/>
    <w:rsid w:val="5A023F68"/>
    <w:rsid w:val="5A1E73B3"/>
    <w:rsid w:val="5A63351F"/>
    <w:rsid w:val="5A700DC4"/>
    <w:rsid w:val="5A7C4B8E"/>
    <w:rsid w:val="5A9A06A5"/>
    <w:rsid w:val="5ABC4F54"/>
    <w:rsid w:val="5AC01F85"/>
    <w:rsid w:val="5ADD6340"/>
    <w:rsid w:val="5BAC582A"/>
    <w:rsid w:val="5BC53842"/>
    <w:rsid w:val="5BFD7828"/>
    <w:rsid w:val="5C796D30"/>
    <w:rsid w:val="5CDA593B"/>
    <w:rsid w:val="5CFE42CA"/>
    <w:rsid w:val="5DF4767B"/>
    <w:rsid w:val="5E544025"/>
    <w:rsid w:val="5FA47D25"/>
    <w:rsid w:val="5FC01529"/>
    <w:rsid w:val="62661374"/>
    <w:rsid w:val="629D498C"/>
    <w:rsid w:val="62A106FC"/>
    <w:rsid w:val="62E2515D"/>
    <w:rsid w:val="63355D0B"/>
    <w:rsid w:val="633612D7"/>
    <w:rsid w:val="63662AA1"/>
    <w:rsid w:val="6432459F"/>
    <w:rsid w:val="645A522D"/>
    <w:rsid w:val="645C57AD"/>
    <w:rsid w:val="647D49CD"/>
    <w:rsid w:val="651A6303"/>
    <w:rsid w:val="652578EB"/>
    <w:rsid w:val="65307C6D"/>
    <w:rsid w:val="65336DEA"/>
    <w:rsid w:val="6560685F"/>
    <w:rsid w:val="657A3642"/>
    <w:rsid w:val="6593692B"/>
    <w:rsid w:val="65A31678"/>
    <w:rsid w:val="65C45964"/>
    <w:rsid w:val="65DF61A1"/>
    <w:rsid w:val="65E971E8"/>
    <w:rsid w:val="65F942BB"/>
    <w:rsid w:val="66145750"/>
    <w:rsid w:val="661C53F6"/>
    <w:rsid w:val="66266C5E"/>
    <w:rsid w:val="663B3B82"/>
    <w:rsid w:val="6784580C"/>
    <w:rsid w:val="67920029"/>
    <w:rsid w:val="68C13B8D"/>
    <w:rsid w:val="68C70A76"/>
    <w:rsid w:val="69D53E32"/>
    <w:rsid w:val="6A141F42"/>
    <w:rsid w:val="6A9C5C04"/>
    <w:rsid w:val="6B057670"/>
    <w:rsid w:val="6B185E45"/>
    <w:rsid w:val="6B537DD0"/>
    <w:rsid w:val="6B9B64C5"/>
    <w:rsid w:val="6BB602C0"/>
    <w:rsid w:val="6BDE560A"/>
    <w:rsid w:val="6C265132"/>
    <w:rsid w:val="6C325CB4"/>
    <w:rsid w:val="6C667DA6"/>
    <w:rsid w:val="6CAB1EBB"/>
    <w:rsid w:val="6D09462E"/>
    <w:rsid w:val="6D1260B4"/>
    <w:rsid w:val="6D5C1D10"/>
    <w:rsid w:val="6D951327"/>
    <w:rsid w:val="6DBB1F2A"/>
    <w:rsid w:val="6DCA193B"/>
    <w:rsid w:val="6DD52A31"/>
    <w:rsid w:val="6E0C50B3"/>
    <w:rsid w:val="6E4B78ED"/>
    <w:rsid w:val="6E95252F"/>
    <w:rsid w:val="6EC02FB2"/>
    <w:rsid w:val="6EC442B3"/>
    <w:rsid w:val="6EE007F7"/>
    <w:rsid w:val="6EF3209F"/>
    <w:rsid w:val="6F0C5C01"/>
    <w:rsid w:val="700D5040"/>
    <w:rsid w:val="70610856"/>
    <w:rsid w:val="70E9572D"/>
    <w:rsid w:val="7101585F"/>
    <w:rsid w:val="711645A0"/>
    <w:rsid w:val="711D730C"/>
    <w:rsid w:val="7166022C"/>
    <w:rsid w:val="719B61F7"/>
    <w:rsid w:val="721A015C"/>
    <w:rsid w:val="72DF1FED"/>
    <w:rsid w:val="73964EF2"/>
    <w:rsid w:val="73C50D8E"/>
    <w:rsid w:val="73F0754E"/>
    <w:rsid w:val="74472C70"/>
    <w:rsid w:val="744C72C0"/>
    <w:rsid w:val="745C376D"/>
    <w:rsid w:val="746E768B"/>
    <w:rsid w:val="74807E89"/>
    <w:rsid w:val="74973F5E"/>
    <w:rsid w:val="74A85312"/>
    <w:rsid w:val="7544625C"/>
    <w:rsid w:val="75567800"/>
    <w:rsid w:val="75AD24B7"/>
    <w:rsid w:val="76021965"/>
    <w:rsid w:val="76DF3635"/>
    <w:rsid w:val="776529D2"/>
    <w:rsid w:val="777A58BB"/>
    <w:rsid w:val="77C23F42"/>
    <w:rsid w:val="7860158C"/>
    <w:rsid w:val="78851AFA"/>
    <w:rsid w:val="788D512B"/>
    <w:rsid w:val="78946BE5"/>
    <w:rsid w:val="78AB5267"/>
    <w:rsid w:val="78F74807"/>
    <w:rsid w:val="790C0FC5"/>
    <w:rsid w:val="79421A9A"/>
    <w:rsid w:val="79557A16"/>
    <w:rsid w:val="79FA2B83"/>
    <w:rsid w:val="7A185A98"/>
    <w:rsid w:val="7A224AC3"/>
    <w:rsid w:val="7A6A0C38"/>
    <w:rsid w:val="7A8545CB"/>
    <w:rsid w:val="7B5006A1"/>
    <w:rsid w:val="7B9705B4"/>
    <w:rsid w:val="7BC2251B"/>
    <w:rsid w:val="7BF9CAAA"/>
    <w:rsid w:val="7C00295A"/>
    <w:rsid w:val="7C4359DC"/>
    <w:rsid w:val="7C885022"/>
    <w:rsid w:val="7CF63D6E"/>
    <w:rsid w:val="7D327E62"/>
    <w:rsid w:val="7D5F63DD"/>
    <w:rsid w:val="7D7552CF"/>
    <w:rsid w:val="7DD35A5E"/>
    <w:rsid w:val="7EAB3C5E"/>
    <w:rsid w:val="7EE6308E"/>
    <w:rsid w:val="7EEF9853"/>
    <w:rsid w:val="7F0479A6"/>
    <w:rsid w:val="7F623863"/>
    <w:rsid w:val="7F7EFB70"/>
    <w:rsid w:val="7FAA77AB"/>
    <w:rsid w:val="7FD3387F"/>
    <w:rsid w:val="7FF9C17C"/>
    <w:rsid w:val="7FFF4328"/>
    <w:rsid w:val="8A9A3526"/>
    <w:rsid w:val="937D39BA"/>
    <w:rsid w:val="BEEE5F4E"/>
    <w:rsid w:val="BFFF1D45"/>
    <w:rsid w:val="DFD97A20"/>
    <w:rsid w:val="FA9DA214"/>
    <w:rsid w:val="FFEFA9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41"/>
        <o:r id="V:Rule2" type="connector" idref="#自选图形 2"/>
        <o:r id="V:Rule3" type="connector" idref="#自选图形 58"/>
        <o:r id="V:Rule4" type="callout" idref="#标注: 线形 3"/>
        <o:r id="V:Rule5" type="callout" idref="#标注: 线形 26"/>
        <o:r id="V:Rule6" type="callout" idref="#标注: 线形 27"/>
        <o:r id="V:Rule7" type="callout" idref="#标注: 线形 47"/>
        <o:r id="V:Rule8" type="callout" idref="#标注: 线形 50"/>
        <o:r id="V:Rule9" type="connector" idref="#直接箭头连接符 11"/>
        <o:r id="V:Rule10" type="connector" idref="#直接箭头连接符 12"/>
        <o:r id="V:Rule11" type="connector" idref="#直接箭头连接符 13"/>
        <o:r id="V:Rule12" type="connector" idref="#直接箭头连接符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2"/>
      <w:lang w:val="en-US" w:eastAsia="zh-CN" w:bidi="ar-SA"/>
    </w:rPr>
  </w:style>
  <w:style w:type="paragraph" w:styleId="3">
    <w:name w:val="heading 1"/>
    <w:basedOn w:val="1"/>
    <w:next w:val="1"/>
    <w:link w:val="53"/>
    <w:qFormat/>
    <w:uiPriority w:val="9"/>
    <w:pPr>
      <w:keepNext/>
      <w:keepLines/>
      <w:spacing w:before="340" w:after="330" w:line="360"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5">
    <w:name w:val="heading 3"/>
    <w:basedOn w:val="1"/>
    <w:next w:val="1"/>
    <w:qFormat/>
    <w:uiPriority w:val="9"/>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40" w:after="50" w:line="360" w:lineRule="auto"/>
      <w:ind w:left="864" w:hanging="864"/>
      <w:outlineLvl w:val="3"/>
    </w:pPr>
    <w:rPr>
      <w:rFonts w:ascii="Arial" w:hAnsi="Arial" w:eastAsia="黑体"/>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szCs w:val="21"/>
    </w:rPr>
  </w:style>
  <w:style w:type="paragraph" w:styleId="7">
    <w:name w:val="toc 7"/>
    <w:basedOn w:val="1"/>
    <w:next w:val="1"/>
    <w:unhideWhenUsed/>
    <w:qFormat/>
    <w:uiPriority w:val="39"/>
    <w:pPr>
      <w:ind w:left="1260"/>
      <w:jc w:val="left"/>
    </w:pPr>
    <w:rPr>
      <w:sz w:val="18"/>
      <w:szCs w:val="18"/>
    </w:rPr>
  </w:style>
  <w:style w:type="paragraph" w:styleId="8">
    <w:name w:val="caption"/>
    <w:basedOn w:val="1"/>
    <w:next w:val="1"/>
    <w:link w:val="82"/>
    <w:qFormat/>
    <w:uiPriority w:val="0"/>
    <w:rPr>
      <w:rFonts w:ascii="Arial" w:hAnsi="Arial" w:eastAsia="黑体"/>
      <w:sz w:val="20"/>
    </w:rPr>
  </w:style>
  <w:style w:type="paragraph" w:styleId="9">
    <w:name w:val="Document Map"/>
    <w:basedOn w:val="1"/>
    <w:link w:val="86"/>
    <w:semiHidden/>
    <w:unhideWhenUsed/>
    <w:qFormat/>
    <w:uiPriority w:val="99"/>
    <w:rPr>
      <w:rFonts w:ascii="宋体" w:eastAsia="宋体"/>
      <w:sz w:val="18"/>
      <w:szCs w:val="18"/>
    </w:rPr>
  </w:style>
  <w:style w:type="paragraph" w:styleId="10">
    <w:name w:val="annotation text"/>
    <w:basedOn w:val="1"/>
    <w:link w:val="44"/>
    <w:unhideWhenUsed/>
    <w:qFormat/>
    <w:uiPriority w:val="99"/>
    <w:pPr>
      <w:jc w:val="left"/>
    </w:pPr>
  </w:style>
  <w:style w:type="paragraph" w:styleId="11">
    <w:name w:val="Body Text"/>
    <w:basedOn w:val="1"/>
    <w:qFormat/>
    <w:uiPriority w:val="1"/>
    <w:pPr>
      <w:ind w:left="640"/>
    </w:pPr>
    <w:rPr>
      <w:rFonts w:ascii="宋体" w:hAnsi="宋体" w:eastAsia="宋体" w:cs="宋体"/>
      <w:sz w:val="32"/>
      <w:szCs w:val="32"/>
      <w:lang w:val="zh-CN" w:bidi="zh-CN"/>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link w:val="55"/>
    <w:qFormat/>
    <w:uiPriority w:val="0"/>
    <w:pPr>
      <w:spacing w:line="360" w:lineRule="auto"/>
      <w:ind w:firstLine="420" w:firstLineChars="200"/>
    </w:pPr>
    <w:rPr>
      <w:rFonts w:ascii="宋体" w:hAnsi="Courier New" w:eastAsia="宋体"/>
      <w:sz w:val="20"/>
    </w:rPr>
  </w:style>
  <w:style w:type="paragraph" w:styleId="15">
    <w:name w:val="toc 8"/>
    <w:basedOn w:val="1"/>
    <w:next w:val="1"/>
    <w:unhideWhenUsed/>
    <w:qFormat/>
    <w:uiPriority w:val="39"/>
    <w:pPr>
      <w:ind w:left="1470"/>
      <w:jc w:val="left"/>
    </w:pPr>
    <w:rPr>
      <w:sz w:val="18"/>
      <w:szCs w:val="18"/>
    </w:rPr>
  </w:style>
  <w:style w:type="paragraph" w:styleId="16">
    <w:name w:val="Balloon Text"/>
    <w:basedOn w:val="1"/>
    <w:link w:val="51"/>
    <w:unhideWhenUsed/>
    <w:qFormat/>
    <w:uiPriority w:val="99"/>
    <w:rPr>
      <w:rFonts w:ascii="宋体" w:hAnsi="Times New Roman" w:eastAsia="宋体"/>
      <w:kern w:val="0"/>
      <w:sz w:val="18"/>
      <w:szCs w:val="18"/>
    </w:rPr>
  </w:style>
  <w:style w:type="paragraph" w:styleId="17">
    <w:name w:val="footer"/>
    <w:basedOn w:val="1"/>
    <w:link w:val="4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50"/>
    <w:unhideWhenUsed/>
    <w:qFormat/>
    <w:uiPriority w:val="99"/>
    <w:pPr>
      <w:widowControl/>
      <w:snapToGrid w:val="0"/>
      <w:spacing w:line="240" w:lineRule="atLeast"/>
      <w:jc w:val="left"/>
    </w:pPr>
    <w:rPr>
      <w:rFonts w:ascii="宋体" w:hAnsi="宋体" w:eastAsia="宋体"/>
      <w:i/>
      <w:kern w:val="0"/>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able of figures"/>
    <w:basedOn w:val="1"/>
    <w:next w:val="1"/>
    <w:unhideWhenUsed/>
    <w:qFormat/>
    <w:uiPriority w:val="99"/>
    <w:pPr>
      <w:ind w:left="420" w:hanging="420"/>
      <w:jc w:val="left"/>
    </w:pPr>
    <w:rPr>
      <w:smallCaps/>
      <w:sz w:val="20"/>
      <w:szCs w:val="20"/>
    </w:r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annotation subject"/>
    <w:basedOn w:val="10"/>
    <w:next w:val="10"/>
    <w:link w:val="58"/>
    <w:unhideWhenUsed/>
    <w:qFormat/>
    <w:uiPriority w:val="99"/>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rPr>
  </w:style>
  <w:style w:type="character" w:styleId="33">
    <w:name w:val="page number"/>
    <w:basedOn w:val="31"/>
    <w:unhideWhenUsed/>
    <w:qFormat/>
    <w:uiPriority w:val="99"/>
  </w:style>
  <w:style w:type="character" w:styleId="34">
    <w:name w:val="FollowedHyperlink"/>
    <w:unhideWhenUsed/>
    <w:qFormat/>
    <w:uiPriority w:val="99"/>
    <w:rPr>
      <w:color w:val="800080"/>
      <w:u w:val="none"/>
    </w:rPr>
  </w:style>
  <w:style w:type="character" w:styleId="35">
    <w:name w:val="Emphasis"/>
    <w:basedOn w:val="31"/>
    <w:qFormat/>
    <w:uiPriority w:val="20"/>
    <w:rPr>
      <w:i/>
      <w:iCs/>
    </w:rPr>
  </w:style>
  <w:style w:type="character" w:styleId="36">
    <w:name w:val="Hyperlink"/>
    <w:unhideWhenUsed/>
    <w:qFormat/>
    <w:uiPriority w:val="99"/>
    <w:rPr>
      <w:color w:val="0563C1"/>
      <w:u w:val="single"/>
    </w:rPr>
  </w:style>
  <w:style w:type="character" w:styleId="37">
    <w:name w:val="annotation reference"/>
    <w:unhideWhenUsed/>
    <w:qFormat/>
    <w:uiPriority w:val="99"/>
    <w:rPr>
      <w:sz w:val="21"/>
      <w:szCs w:val="21"/>
    </w:rPr>
  </w:style>
  <w:style w:type="character" w:styleId="38">
    <w:name w:val="footnote reference"/>
    <w:link w:val="39"/>
    <w:unhideWhenUsed/>
    <w:qFormat/>
    <w:uiPriority w:val="99"/>
    <w:rPr>
      <w:vertAlign w:val="superscript"/>
    </w:rPr>
  </w:style>
  <w:style w:type="paragraph" w:customStyle="1" w:styleId="39">
    <w:name w:val="FNRefe Char Char"/>
    <w:basedOn w:val="1"/>
    <w:link w:val="38"/>
    <w:qFormat/>
    <w:uiPriority w:val="99"/>
    <w:pPr>
      <w:widowControl/>
      <w:spacing w:line="240" w:lineRule="exact"/>
      <w:jc w:val="left"/>
    </w:pPr>
    <w:rPr>
      <w:rFonts w:ascii="Times New Roman" w:hAnsi="Times New Roman" w:eastAsia="宋体"/>
      <w:kern w:val="0"/>
      <w:sz w:val="20"/>
      <w:szCs w:val="20"/>
      <w:vertAlign w:val="superscript"/>
    </w:rPr>
  </w:style>
  <w:style w:type="paragraph" w:customStyle="1" w:styleId="40">
    <w:name w:val="列出段落1"/>
    <w:basedOn w:val="1"/>
    <w:qFormat/>
    <w:uiPriority w:val="34"/>
    <w:pPr>
      <w:ind w:firstLine="420" w:firstLineChars="200"/>
    </w:pPr>
  </w:style>
  <w:style w:type="character" w:customStyle="1" w:styleId="41">
    <w:name w:val="font41"/>
    <w:qFormat/>
    <w:uiPriority w:val="0"/>
    <w:rPr>
      <w:rFonts w:hint="eastAsia" w:ascii="Microsoft JhengHei" w:hAnsi="Microsoft JhengHei" w:eastAsia="Microsoft JhengHei" w:cs="Microsoft JhengHei"/>
      <w:b/>
      <w:color w:val="000000"/>
      <w:sz w:val="28"/>
      <w:szCs w:val="28"/>
      <w:u w:val="none"/>
    </w:rPr>
  </w:style>
  <w:style w:type="character" w:customStyle="1" w:styleId="42">
    <w:name w:val="页脚 字符"/>
    <w:link w:val="17"/>
    <w:qFormat/>
    <w:uiPriority w:val="99"/>
    <w:rPr>
      <w:sz w:val="18"/>
      <w:szCs w:val="18"/>
    </w:rPr>
  </w:style>
  <w:style w:type="character" w:customStyle="1" w:styleId="43">
    <w:name w:val="font01"/>
    <w:qFormat/>
    <w:uiPriority w:val="0"/>
    <w:rPr>
      <w:rFonts w:hint="eastAsia" w:ascii="宋体" w:hAnsi="宋体" w:eastAsia="宋体" w:cs="宋体"/>
      <w:color w:val="000000"/>
      <w:sz w:val="22"/>
      <w:szCs w:val="22"/>
      <w:u w:val="none"/>
    </w:rPr>
  </w:style>
  <w:style w:type="character" w:customStyle="1" w:styleId="44">
    <w:name w:val="批注文字 字符"/>
    <w:link w:val="10"/>
    <w:qFormat/>
    <w:uiPriority w:val="99"/>
    <w:rPr>
      <w:rFonts w:ascii="等线" w:hAnsi="等线" w:eastAsia="等线" w:cs="Times New Roman"/>
      <w:kern w:val="2"/>
      <w:sz w:val="21"/>
      <w:szCs w:val="22"/>
    </w:rPr>
  </w:style>
  <w:style w:type="character" w:customStyle="1" w:styleId="45">
    <w:name w:val="List Paragraph Char1"/>
    <w:link w:val="46"/>
    <w:qFormat/>
    <w:locked/>
    <w:uiPriority w:val="99"/>
    <w:rPr>
      <w:rFonts w:ascii="Calibri" w:hAnsi="Calibri" w:cs="Times New Roman"/>
      <w:sz w:val="22"/>
      <w:szCs w:val="22"/>
    </w:rPr>
  </w:style>
  <w:style w:type="paragraph" w:customStyle="1" w:styleId="46">
    <w:name w:val="列出段落4"/>
    <w:basedOn w:val="1"/>
    <w:link w:val="45"/>
    <w:qFormat/>
    <w:uiPriority w:val="99"/>
    <w:pPr>
      <w:widowControl/>
      <w:ind w:left="720"/>
      <w:contextualSpacing/>
    </w:pPr>
    <w:rPr>
      <w:rFonts w:ascii="Calibri" w:hAnsi="Calibri" w:eastAsia="宋体"/>
      <w:kern w:val="0"/>
      <w:sz w:val="22"/>
    </w:rPr>
  </w:style>
  <w:style w:type="character" w:customStyle="1" w:styleId="47">
    <w:name w:val="font61"/>
    <w:qFormat/>
    <w:uiPriority w:val="0"/>
    <w:rPr>
      <w:rFonts w:hint="eastAsia" w:ascii="黑体" w:hAnsi="宋体" w:eastAsia="黑体" w:cs="黑体"/>
      <w:color w:val="000000"/>
      <w:sz w:val="30"/>
      <w:szCs w:val="30"/>
      <w:u w:val="none"/>
    </w:rPr>
  </w:style>
  <w:style w:type="character" w:customStyle="1" w:styleId="48">
    <w:name w:val="正文缩进 Char"/>
    <w:link w:val="49"/>
    <w:qFormat/>
    <w:uiPriority w:val="0"/>
    <w:rPr>
      <w:rFonts w:ascii="宋体" w:hAnsi="宋体" w:eastAsia="宋体" w:cs="宋体"/>
      <w:szCs w:val="24"/>
    </w:rPr>
  </w:style>
  <w:style w:type="paragraph" w:customStyle="1" w:styleId="49">
    <w:name w:val="正文缩进1"/>
    <w:basedOn w:val="1"/>
    <w:link w:val="48"/>
    <w:qFormat/>
    <w:uiPriority w:val="0"/>
    <w:pPr>
      <w:widowControl/>
      <w:ind w:firstLine="420" w:firstLineChars="200"/>
      <w:jc w:val="left"/>
    </w:pPr>
    <w:rPr>
      <w:rFonts w:ascii="宋体" w:hAnsi="宋体" w:eastAsia="宋体"/>
      <w:kern w:val="0"/>
      <w:sz w:val="20"/>
      <w:szCs w:val="24"/>
    </w:rPr>
  </w:style>
  <w:style w:type="character" w:customStyle="1" w:styleId="50">
    <w:name w:val="脚注文本 字符"/>
    <w:link w:val="21"/>
    <w:qFormat/>
    <w:uiPriority w:val="99"/>
    <w:rPr>
      <w:rFonts w:ascii="宋体" w:hAnsi="宋体" w:eastAsia="宋体" w:cs="宋体"/>
      <w:i/>
      <w:sz w:val="18"/>
      <w:szCs w:val="18"/>
    </w:rPr>
  </w:style>
  <w:style w:type="character" w:customStyle="1" w:styleId="51">
    <w:name w:val="批注框文本 字符"/>
    <w:link w:val="16"/>
    <w:semiHidden/>
    <w:qFormat/>
    <w:uiPriority w:val="99"/>
    <w:rPr>
      <w:rFonts w:ascii="宋体" w:eastAsia="宋体"/>
      <w:sz w:val="18"/>
      <w:szCs w:val="18"/>
    </w:rPr>
  </w:style>
  <w:style w:type="character" w:customStyle="1" w:styleId="52">
    <w:name w:val="页眉 字符"/>
    <w:link w:val="18"/>
    <w:qFormat/>
    <w:uiPriority w:val="99"/>
    <w:rPr>
      <w:sz w:val="18"/>
      <w:szCs w:val="18"/>
    </w:rPr>
  </w:style>
  <w:style w:type="character" w:customStyle="1" w:styleId="53">
    <w:name w:val="标题 1 字符"/>
    <w:link w:val="3"/>
    <w:qFormat/>
    <w:uiPriority w:val="9"/>
    <w:rPr>
      <w:rFonts w:ascii="等线" w:hAnsi="等线" w:eastAsia="等线"/>
      <w:b/>
      <w:bCs/>
      <w:kern w:val="44"/>
      <w:sz w:val="44"/>
      <w:szCs w:val="44"/>
    </w:rPr>
  </w:style>
  <w:style w:type="character" w:customStyle="1" w:styleId="54">
    <w:name w:val="font21"/>
    <w:qFormat/>
    <w:uiPriority w:val="0"/>
    <w:rPr>
      <w:rFonts w:ascii="Calibri" w:hAnsi="Calibri" w:cs="Calibri"/>
      <w:color w:val="000000"/>
      <w:sz w:val="22"/>
      <w:szCs w:val="22"/>
      <w:u w:val="none"/>
    </w:rPr>
  </w:style>
  <w:style w:type="character" w:customStyle="1" w:styleId="55">
    <w:name w:val="纯文本 字符"/>
    <w:link w:val="14"/>
    <w:qFormat/>
    <w:uiPriority w:val="0"/>
    <w:rPr>
      <w:rFonts w:ascii="宋体" w:hAnsi="Courier New"/>
      <w:kern w:val="2"/>
      <w:szCs w:val="22"/>
    </w:rPr>
  </w:style>
  <w:style w:type="character" w:customStyle="1" w:styleId="56">
    <w:name w:val="font31"/>
    <w:qFormat/>
    <w:uiPriority w:val="0"/>
    <w:rPr>
      <w:rFonts w:hint="default" w:ascii="Times New Roman" w:hAnsi="Times New Roman" w:cs="Times New Roman"/>
      <w:b/>
      <w:color w:val="000000"/>
      <w:sz w:val="28"/>
      <w:szCs w:val="28"/>
      <w:u w:val="none"/>
    </w:rPr>
  </w:style>
  <w:style w:type="character" w:customStyle="1" w:styleId="57">
    <w:name w:val="bsharetext"/>
    <w:basedOn w:val="31"/>
    <w:qFormat/>
    <w:uiPriority w:val="0"/>
  </w:style>
  <w:style w:type="character" w:customStyle="1" w:styleId="58">
    <w:name w:val="批注主题 字符"/>
    <w:link w:val="28"/>
    <w:semiHidden/>
    <w:qFormat/>
    <w:uiPriority w:val="99"/>
    <w:rPr>
      <w:rFonts w:ascii="等线" w:hAnsi="等线" w:eastAsia="等线" w:cs="Times New Roman"/>
      <w:b/>
      <w:bCs/>
      <w:kern w:val="2"/>
      <w:sz w:val="21"/>
      <w:szCs w:val="22"/>
    </w:rPr>
  </w:style>
  <w:style w:type="character" w:customStyle="1" w:styleId="59">
    <w:name w:val="HTML 预设格式 字符"/>
    <w:link w:val="26"/>
    <w:semiHidden/>
    <w:qFormat/>
    <w:uiPriority w:val="99"/>
    <w:rPr>
      <w:rFonts w:ascii="宋体" w:hAnsi="宋体" w:cs="宋体"/>
      <w:sz w:val="24"/>
      <w:szCs w:val="24"/>
    </w:rPr>
  </w:style>
  <w:style w:type="character" w:customStyle="1" w:styleId="60">
    <w:name w:val="font51"/>
    <w:qFormat/>
    <w:uiPriority w:val="0"/>
    <w:rPr>
      <w:rFonts w:hint="default" w:ascii="Times New Roman" w:hAnsi="Times New Roman" w:cs="Times New Roman"/>
      <w:color w:val="000000"/>
      <w:sz w:val="30"/>
      <w:szCs w:val="30"/>
      <w:u w:val="none"/>
    </w:rPr>
  </w:style>
  <w:style w:type="character" w:customStyle="1" w:styleId="61">
    <w:name w:val="标题 2 字符"/>
    <w:link w:val="4"/>
    <w:qFormat/>
    <w:uiPriority w:val="9"/>
    <w:rPr>
      <w:rFonts w:ascii="等线 Light" w:hAnsi="等线 Light" w:eastAsia="等线 Light" w:cs="Times New Roman"/>
      <w:b/>
      <w:bCs/>
      <w:sz w:val="32"/>
      <w:szCs w:val="32"/>
    </w:rPr>
  </w:style>
  <w:style w:type="character" w:customStyle="1" w:styleId="62">
    <w:name w:val="font11"/>
    <w:qFormat/>
    <w:uiPriority w:val="0"/>
    <w:rPr>
      <w:rFonts w:hint="default" w:ascii="Times New Roman" w:hAnsi="Times New Roman" w:cs="Times New Roman"/>
      <w:color w:val="000000"/>
      <w:sz w:val="22"/>
      <w:szCs w:val="22"/>
      <w:u w:val="none"/>
    </w:rPr>
  </w:style>
  <w:style w:type="character" w:customStyle="1" w:styleId="63">
    <w:name w:val="列表段落 字符"/>
    <w:link w:val="64"/>
    <w:qFormat/>
    <w:uiPriority w:val="34"/>
    <w:rPr>
      <w:rFonts w:ascii="等线" w:hAnsi="等线" w:eastAsia="等线" w:cs="Times New Roman"/>
      <w:kern w:val="2"/>
      <w:sz w:val="21"/>
      <w:szCs w:val="22"/>
    </w:rPr>
  </w:style>
  <w:style w:type="paragraph" w:styleId="64">
    <w:name w:val="List Paragraph"/>
    <w:basedOn w:val="1"/>
    <w:link w:val="63"/>
    <w:qFormat/>
    <w:uiPriority w:val="34"/>
    <w:pPr>
      <w:ind w:firstLine="420" w:firstLineChars="200"/>
    </w:pPr>
  </w:style>
  <w:style w:type="character" w:customStyle="1" w:styleId="65">
    <w:name w:val="列出段落 字符1"/>
    <w:qFormat/>
    <w:uiPriority w:val="34"/>
    <w:rPr>
      <w:rFonts w:ascii="宋体" w:hAnsi="宋体" w:eastAsia="宋体" w:cs="宋体"/>
      <w:kern w:val="0"/>
      <w:sz w:val="24"/>
      <w:szCs w:val="24"/>
    </w:rPr>
  </w:style>
  <w:style w:type="paragraph" w:customStyle="1" w:styleId="66">
    <w:name w:val="正文2"/>
    <w:basedOn w:val="1"/>
    <w:next w:val="1"/>
    <w:qFormat/>
    <w:uiPriority w:val="0"/>
  </w:style>
  <w:style w:type="paragraph" w:customStyle="1" w:styleId="67">
    <w:name w:val="样式2"/>
    <w:basedOn w:val="8"/>
    <w:qFormat/>
    <w:uiPriority w:val="0"/>
    <w:pPr>
      <w:snapToGrid w:val="0"/>
      <w:jc w:val="center"/>
    </w:pPr>
  </w:style>
  <w:style w:type="paragraph" w:customStyle="1" w:styleId="68">
    <w:name w:val="列出段落2"/>
    <w:basedOn w:val="1"/>
    <w:qFormat/>
    <w:uiPriority w:val="0"/>
    <w:pPr>
      <w:ind w:firstLine="420" w:firstLineChars="200"/>
    </w:pPr>
    <w:rPr>
      <w:rFonts w:ascii="Calibri" w:hAnsi="Calibri" w:eastAsia="宋体"/>
    </w:rPr>
  </w:style>
  <w:style w:type="paragraph" w:customStyle="1" w:styleId="69">
    <w:name w:val="List Paragraph1"/>
    <w:basedOn w:val="1"/>
    <w:qFormat/>
    <w:uiPriority w:val="0"/>
    <w:pPr>
      <w:widowControl/>
      <w:spacing w:before="100" w:beforeAutospacing="1" w:after="100" w:afterAutospacing="1"/>
      <w:ind w:left="720"/>
      <w:contextualSpacing/>
      <w:jc w:val="left"/>
    </w:pPr>
    <w:rPr>
      <w:rFonts w:ascii="Calibri" w:hAnsi="Calibri" w:eastAsia="宋体" w:cs="宋体"/>
      <w:kern w:val="0"/>
      <w:sz w:val="24"/>
      <w:szCs w:val="24"/>
    </w:rPr>
  </w:style>
  <w:style w:type="paragraph" w:customStyle="1" w:styleId="70">
    <w:name w:val="Table"/>
    <w:basedOn w:val="1"/>
    <w:qFormat/>
    <w:uiPriority w:val="0"/>
    <w:pPr>
      <w:tabs>
        <w:tab w:val="right" w:pos="9173"/>
      </w:tabs>
      <w:suppressAutoHyphens/>
      <w:spacing w:before="40" w:after="40"/>
    </w:pPr>
    <w:rPr>
      <w:rFonts w:ascii="Arial" w:hAnsi="Arial" w:eastAsia="宋体"/>
      <w:spacing w:val="-2"/>
      <w:kern w:val="0"/>
      <w:sz w:val="20"/>
      <w:szCs w:val="20"/>
      <w:lang w:val="en-CA" w:eastAsia="en-US"/>
    </w:rPr>
  </w:style>
  <w:style w:type="paragraph" w:customStyle="1" w:styleId="71">
    <w:name w:val="修订2"/>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72">
    <w:name w:val="列出段落3"/>
    <w:basedOn w:val="1"/>
    <w:qFormat/>
    <w:uiPriority w:val="0"/>
    <w:pPr>
      <w:ind w:firstLine="420" w:firstLineChars="200"/>
    </w:pPr>
    <w:rPr>
      <w:rFonts w:ascii="Calibri" w:hAnsi="Calibri" w:eastAsia="宋体"/>
    </w:rPr>
  </w:style>
  <w:style w:type="paragraph" w:customStyle="1" w:styleId="73">
    <w:name w:val="正文首行缩进 2 + Times New Roman"/>
    <w:basedOn w:val="1"/>
    <w:qFormat/>
    <w:uiPriority w:val="0"/>
    <w:pPr>
      <w:tabs>
        <w:tab w:val="left" w:pos="0"/>
        <w:tab w:val="left" w:pos="870"/>
        <w:tab w:val="left" w:pos="3150"/>
      </w:tabs>
      <w:autoSpaceDE w:val="0"/>
      <w:autoSpaceDN w:val="0"/>
      <w:spacing w:line="360" w:lineRule="auto"/>
      <w:ind w:firstLine="560" w:firstLineChars="200"/>
      <w:jc w:val="left"/>
    </w:pPr>
    <w:rPr>
      <w:rFonts w:eastAsia="仿宋"/>
      <w:kern w:val="0"/>
      <w:sz w:val="28"/>
    </w:rPr>
  </w:style>
  <w:style w:type="paragraph" w:customStyle="1" w:styleId="74">
    <w:name w:val="Table Paragraph"/>
    <w:basedOn w:val="1"/>
    <w:qFormat/>
    <w:uiPriority w:val="1"/>
    <w:rPr>
      <w:rFonts w:ascii="宋体" w:hAnsi="宋体" w:eastAsia="宋体" w:cs="宋体"/>
      <w:lang w:val="zh-CN" w:bidi="zh-CN"/>
    </w:rPr>
  </w:style>
  <w:style w:type="paragraph" w:customStyle="1" w:styleId="75">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76">
    <w:name w:val="新正文"/>
    <w:basedOn w:val="1"/>
    <w:qFormat/>
    <w:uiPriority w:val="0"/>
    <w:pPr>
      <w:spacing w:before="60" w:line="460" w:lineRule="exact"/>
      <w:ind w:firstLine="200" w:firstLineChars="200"/>
    </w:pPr>
    <w:rPr>
      <w:sz w:val="24"/>
      <w:szCs w:val="20"/>
    </w:rPr>
  </w:style>
  <w:style w:type="paragraph" w:customStyle="1" w:styleId="77">
    <w:name w:val="修订1"/>
    <w:semiHidden/>
    <w:qFormat/>
    <w:uiPriority w:val="99"/>
    <w:pPr>
      <w:spacing w:after="160" w:line="259" w:lineRule="auto"/>
    </w:pPr>
    <w:rPr>
      <w:rFonts w:ascii="等线" w:hAnsi="等线" w:eastAsia="等线" w:cs="Times New Roman"/>
      <w:kern w:val="2"/>
      <w:sz w:val="21"/>
      <w:szCs w:val="22"/>
      <w:lang w:val="en-US" w:eastAsia="zh-CN" w:bidi="ar-SA"/>
    </w:rPr>
  </w:style>
  <w:style w:type="paragraph" w:customStyle="1" w:styleId="78">
    <w:name w:val="修订3"/>
    <w:unhideWhenUsed/>
    <w:qFormat/>
    <w:uiPriority w:val="99"/>
    <w:pPr>
      <w:spacing w:after="160" w:line="259" w:lineRule="auto"/>
    </w:pPr>
    <w:rPr>
      <w:rFonts w:ascii="等线" w:hAnsi="等线" w:eastAsia="等线" w:cs="Times New Roman"/>
      <w:kern w:val="2"/>
      <w:sz w:val="21"/>
      <w:szCs w:val="22"/>
      <w:lang w:val="en-US" w:eastAsia="zh-CN" w:bidi="ar-SA"/>
    </w:rPr>
  </w:style>
  <w:style w:type="table" w:customStyle="1" w:styleId="79">
    <w:name w:val="TableGrid"/>
    <w:qFormat/>
    <w:uiPriority w:val="0"/>
    <w:tblPr>
      <w:tblCellMar>
        <w:top w:w="0" w:type="dxa"/>
        <w:left w:w="0" w:type="dxa"/>
        <w:bottom w:w="0" w:type="dxa"/>
        <w:right w:w="0" w:type="dxa"/>
      </w:tblCellMar>
    </w:tblPr>
  </w:style>
  <w:style w:type="table" w:customStyle="1" w:styleId="80">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网格型6"/>
    <w:basedOn w:val="2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题注 字符"/>
    <w:link w:val="8"/>
    <w:qFormat/>
    <w:uiPriority w:val="0"/>
    <w:rPr>
      <w:rFonts w:ascii="Arial" w:hAnsi="Arial" w:eastAsia="黑体"/>
      <w:kern w:val="2"/>
      <w:szCs w:val="22"/>
    </w:rPr>
  </w:style>
  <w:style w:type="paragraph" w:customStyle="1" w:styleId="83">
    <w:name w:val="列表段落1"/>
    <w:basedOn w:val="1"/>
    <w:qFormat/>
    <w:uiPriority w:val="99"/>
    <w:pPr>
      <w:ind w:firstLine="420" w:firstLineChars="200"/>
    </w:pPr>
  </w:style>
  <w:style w:type="paragraph" w:customStyle="1" w:styleId="84">
    <w:name w:val="列表段落3"/>
    <w:basedOn w:val="1"/>
    <w:qFormat/>
    <w:uiPriority w:val="99"/>
    <w:pPr>
      <w:widowControl/>
      <w:ind w:firstLine="420" w:firstLineChars="200"/>
      <w:jc w:val="left"/>
    </w:pPr>
    <w:rPr>
      <w:rFonts w:ascii="宋体" w:hAnsi="宋体" w:eastAsia="宋体" w:cs="宋体"/>
      <w:kern w:val="0"/>
      <w:sz w:val="24"/>
      <w:szCs w:val="24"/>
    </w:rPr>
  </w:style>
  <w:style w:type="paragraph" w:customStyle="1" w:styleId="85">
    <w:name w:val="列表段落4"/>
    <w:basedOn w:val="1"/>
    <w:qFormat/>
    <w:uiPriority w:val="99"/>
    <w:pPr>
      <w:ind w:firstLine="420" w:firstLineChars="200"/>
    </w:pPr>
  </w:style>
  <w:style w:type="character" w:customStyle="1" w:styleId="86">
    <w:name w:val="文档结构图 字符"/>
    <w:basedOn w:val="31"/>
    <w:link w:val="9"/>
    <w:semiHidden/>
    <w:qFormat/>
    <w:uiPriority w:val="99"/>
    <w:rPr>
      <w:rFonts w:ascii="宋体" w:hAnsi="等线"/>
      <w:kern w:val="2"/>
      <w:sz w:val="18"/>
      <w:szCs w:val="18"/>
    </w:rPr>
  </w:style>
  <w:style w:type="paragraph" w:customStyle="1" w:styleId="87">
    <w:name w:val="修订4"/>
    <w:hidden/>
    <w:semiHidden/>
    <w:qFormat/>
    <w:uiPriority w:val="99"/>
    <w:rPr>
      <w:rFonts w:ascii="等线" w:hAnsi="等线" w:eastAsia="等线" w:cs="Times New Roman"/>
      <w:kern w:val="2"/>
      <w:sz w:val="21"/>
      <w:szCs w:val="22"/>
      <w:lang w:val="en-US" w:eastAsia="zh-CN" w:bidi="ar-SA"/>
    </w:rPr>
  </w:style>
  <w:style w:type="character" w:customStyle="1" w:styleId="88">
    <w:name w:val="shareable-quote"/>
    <w:basedOn w:val="31"/>
    <w:qFormat/>
    <w:uiPriority w:val="0"/>
  </w:style>
  <w:style w:type="paragraph" w:customStyle="1" w:styleId="89">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1027"/>
    <customShpInfo spid="_x0000_s1026"/>
    <customShpInfo spid="_x0000_s1028"/>
    <customShpInfo spid="_x0000_s2104"/>
    <customShpInfo spid="_x0000_s2105"/>
    <customShpInfo spid="_x0000_s2106"/>
    <customShpInfo spid="_x0000_s2107"/>
    <customShpInfo spid="_x0000_s2108"/>
    <customShpInfo spid="_x0000_s2109"/>
    <customShpInfo spid="_x0000_s2111"/>
    <customShpInfo spid="_x0000_s2112"/>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13"/>
    <customShpInfo spid="_x0000_s2110"/>
    <customShpInfo spid="_x0000_s2103"/>
    <customShpInfo spid="_x0000_s2058"/>
    <customShpInfo spid="_x0000_s2057"/>
    <customShpInfo spid="_x0000_s2056"/>
    <customShpInfo spid="_x0000_s2055"/>
    <customShpInfo spid="_x0000_s2052"/>
    <customShpInfo spid="_x0000_s2053"/>
    <customShpInfo spid="_x0000_s205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4680</Words>
  <Characters>26680</Characters>
  <Lines>222</Lines>
  <Paragraphs>62</Paragraphs>
  <TotalTime>32</TotalTime>
  <ScaleCrop>false</ScaleCrop>
  <LinksUpToDate>false</LinksUpToDate>
  <CharactersWithSpaces>31298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2023-04-19T06:56:00Z</dcterms:created>
  <dc:creator>刘 蓉</dc:creator>
  <cp:lastModifiedBy>cahec</cp:lastModifiedBy>
  <dcterms:modified xsi:type="dcterms:W3CDTF">2023-05-30T08:58:08Z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FFFE93F7C6A54DC4A8FAE0E4EB5E330D</vt:lpwstr>
  </property>
</Properties>
</file>