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widowControl/>
        <w:spacing w:line="520" w:lineRule="exact"/>
        <w:jc w:val="center"/>
        <w:rPr>
          <w:rFonts w:ascii="Times New Roman" w:hAnsi="Times New Roman" w:eastAsia="微软雅黑"/>
          <w:bCs/>
          <w:spacing w:val="20"/>
          <w:sz w:val="36"/>
          <w:szCs w:val="36"/>
          <w:highlight w:val="none"/>
        </w:rPr>
      </w:pPr>
      <w:r>
        <w:rPr>
          <w:rFonts w:ascii="Times New Roman" w:hAnsi="Times New Roman" w:eastAsia="微软雅黑"/>
          <w:bCs/>
          <w:spacing w:val="20"/>
          <w:sz w:val="36"/>
          <w:szCs w:val="36"/>
          <w:highlight w:val="none"/>
        </w:rPr>
        <w:t>Prevention, Preparedness and Response to Emerging Infectious Diseases Project</w:t>
      </w:r>
    </w:p>
    <w:p>
      <w:pPr>
        <w:rPr>
          <w:rFonts w:ascii="Times New Roman" w:hAnsi="Times New Roman"/>
          <w:highlight w:val="none"/>
        </w:rPr>
      </w:pPr>
    </w:p>
    <w:p>
      <w:pPr>
        <w:pStyle w:val="15"/>
        <w:widowControl w:val="0"/>
        <w:rPr>
          <w:rFonts w:eastAsia="方正小标宋简体"/>
          <w:b w:val="0"/>
          <w:bCs/>
          <w:szCs w:val="52"/>
          <w:highlight w:val="none"/>
        </w:rPr>
      </w:pPr>
      <w:r>
        <w:rPr>
          <w:rFonts w:eastAsia="方正小标宋简体"/>
          <w:b w:val="0"/>
          <w:bCs/>
          <w:szCs w:val="52"/>
          <w:highlight w:val="none"/>
        </w:rPr>
        <w:t>世界银行“预防、准备与应对新发</w:t>
      </w:r>
    </w:p>
    <w:p>
      <w:pPr>
        <w:pStyle w:val="15"/>
        <w:widowControl w:val="0"/>
        <w:rPr>
          <w:rFonts w:eastAsia="方正小标宋简体"/>
          <w:b w:val="0"/>
          <w:bCs/>
          <w:szCs w:val="52"/>
          <w:highlight w:val="none"/>
        </w:rPr>
      </w:pPr>
      <w:r>
        <w:rPr>
          <w:rFonts w:eastAsia="方正小标宋简体"/>
          <w:b w:val="0"/>
          <w:bCs/>
          <w:szCs w:val="52"/>
          <w:highlight w:val="none"/>
        </w:rPr>
        <w:t>传染病项目”农业农村部子项目</w:t>
      </w:r>
    </w:p>
    <w:p>
      <w:pPr>
        <w:rPr>
          <w:rFonts w:ascii="Times New Roman" w:hAnsi="Times New Roman"/>
          <w:highlight w:val="none"/>
        </w:rPr>
      </w:pPr>
      <w:bookmarkStart w:id="72" w:name="_GoBack"/>
      <w:bookmarkEnd w:id="72"/>
    </w:p>
    <w:p>
      <w:pPr>
        <w:rPr>
          <w:rFonts w:ascii="Times New Roman" w:hAnsi="Times New Roman"/>
          <w:highlight w:val="none"/>
        </w:rPr>
      </w:pPr>
    </w:p>
    <w:p>
      <w:pPr>
        <w:jc w:val="center"/>
        <w:rPr>
          <w:rFonts w:ascii="Times New Roman" w:hAnsi="Times New Roman" w:eastAsia="微软雅黑"/>
          <w:bCs/>
          <w:spacing w:val="20"/>
          <w:sz w:val="36"/>
          <w:szCs w:val="36"/>
          <w:highlight w:val="none"/>
        </w:rPr>
      </w:pPr>
      <w:r>
        <w:rPr>
          <w:rFonts w:ascii="Times New Roman" w:hAnsi="Times New Roman" w:eastAsia="微软雅黑"/>
          <w:bCs/>
          <w:spacing w:val="20"/>
          <w:sz w:val="36"/>
          <w:szCs w:val="36"/>
          <w:highlight w:val="none"/>
        </w:rPr>
        <w:t>Stakeholder Participation Program</w:t>
      </w:r>
    </w:p>
    <w:p>
      <w:pPr>
        <w:rPr>
          <w:rFonts w:ascii="Times New Roman" w:hAnsi="Times New Roman"/>
          <w:highlight w:val="none"/>
        </w:rPr>
      </w:pPr>
    </w:p>
    <w:p>
      <w:pPr>
        <w:widowControl/>
        <w:spacing w:after="0" w:line="520" w:lineRule="exact"/>
        <w:jc w:val="center"/>
        <w:rPr>
          <w:rFonts w:ascii="Times New Roman" w:hAnsi="Times New Roman" w:eastAsia="方正小标宋简体"/>
          <w:spacing w:val="20"/>
          <w:sz w:val="52"/>
          <w:szCs w:val="52"/>
          <w:highlight w:val="none"/>
        </w:rPr>
      </w:pPr>
      <w:r>
        <w:rPr>
          <w:rFonts w:ascii="Times New Roman" w:hAnsi="Times New Roman" w:eastAsia="方正小标宋简体"/>
          <w:spacing w:val="20"/>
          <w:sz w:val="52"/>
          <w:szCs w:val="52"/>
          <w:highlight w:val="none"/>
        </w:rPr>
        <w:t>利益相关者参与计划</w:t>
      </w:r>
    </w:p>
    <w:p>
      <w:pPr>
        <w:rPr>
          <w:rFonts w:ascii="Times New Roman" w:hAnsi="Times New Roman" w:eastAsia="方正小标宋简体"/>
          <w:sz w:val="36"/>
          <w:szCs w:val="36"/>
          <w:highlight w:val="none"/>
        </w:rPr>
      </w:pPr>
    </w:p>
    <w:p>
      <w:pPr>
        <w:rPr>
          <w:rFonts w:ascii="Times New Roman" w:hAnsi="Times New Roman" w:eastAsia="宋体"/>
          <w:sz w:val="36"/>
          <w:szCs w:val="36"/>
          <w:highlight w:val="none"/>
        </w:rPr>
      </w:pPr>
    </w:p>
    <w:p>
      <w:pPr>
        <w:rPr>
          <w:rFonts w:ascii="Times New Roman" w:hAnsi="Times New Roman" w:eastAsia="宋体"/>
          <w:sz w:val="36"/>
          <w:szCs w:val="36"/>
          <w:highlight w:val="none"/>
        </w:rPr>
      </w:pPr>
    </w:p>
    <w:p>
      <w:pPr>
        <w:rPr>
          <w:rFonts w:ascii="Times New Roman" w:hAnsi="Times New Roman" w:eastAsia="宋体"/>
          <w:sz w:val="36"/>
          <w:szCs w:val="36"/>
          <w:highlight w:val="none"/>
        </w:rPr>
      </w:pPr>
    </w:p>
    <w:p>
      <w:pPr>
        <w:rPr>
          <w:rFonts w:ascii="Times New Roman" w:hAnsi="Times New Roman" w:eastAsia="宋体"/>
          <w:sz w:val="36"/>
          <w:szCs w:val="36"/>
          <w:highlight w:val="none"/>
        </w:rPr>
      </w:pPr>
    </w:p>
    <w:p>
      <w:pPr>
        <w:pStyle w:val="50"/>
        <w:jc w:val="center"/>
        <w:rPr>
          <w:rFonts w:ascii="Times New Roman" w:hAnsi="Times New Roman" w:cs="Times New Roman"/>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Times New Roman" w:hAnsi="Times New Roman" w:eastAsia="宋体"/>
          <w:b/>
          <w:bCs/>
          <w:highlight w:val="none"/>
          <w:lang w:val="zh-CN"/>
        </w:rPr>
        <w:id w:val="1629976593"/>
        <w:docPartObj>
          <w:docPartGallery w:val="Table of Contents"/>
          <w:docPartUnique/>
        </w:docPartObj>
      </w:sdtPr>
      <w:sdtEndPr>
        <w:rPr>
          <w:rFonts w:ascii="Times New Roman" w:hAnsi="Times New Roman" w:eastAsia="等线"/>
          <w:b/>
          <w:bCs/>
          <w:highlight w:val="none"/>
          <w:lang w:val="zh-CN"/>
        </w:rPr>
      </w:sdtEndPr>
      <w:sdtContent>
        <w:p>
          <w:pPr>
            <w:spacing w:after="0" w:line="240" w:lineRule="auto"/>
            <w:jc w:val="center"/>
            <w:rPr>
              <w:rFonts w:ascii="方正小标宋简体" w:hAnsi="Times New Roman" w:eastAsia="方正小标宋简体"/>
              <w:b/>
              <w:sz w:val="44"/>
              <w:szCs w:val="44"/>
              <w:highlight w:val="none"/>
            </w:rPr>
          </w:pPr>
          <w:r>
            <w:rPr>
              <w:rFonts w:hint="eastAsia" w:ascii="方正小标宋简体" w:hAnsi="Times New Roman" w:eastAsia="方正小标宋简体"/>
              <w:b/>
              <w:sz w:val="44"/>
              <w:szCs w:val="44"/>
              <w:highlight w:val="none"/>
            </w:rPr>
            <w:t>目  录</w:t>
          </w:r>
        </w:p>
        <w:p>
          <w:pPr>
            <w:pStyle w:val="2"/>
            <w:rPr>
              <w:highlight w:val="none"/>
            </w:rPr>
          </w:pPr>
        </w:p>
        <w:p>
          <w:pPr>
            <w:pStyle w:val="20"/>
            <w:tabs>
              <w:tab w:val="right" w:leader="dot" w:pos="8306"/>
            </w:tabs>
            <w:spacing w:after="0" w:line="440" w:lineRule="exact"/>
            <w:rPr>
              <w:rFonts w:ascii="Times New Roman" w:hAnsi="Times New Roman" w:eastAsia="仿宋_GB2312"/>
              <w:highlight w:val="none"/>
            </w:rPr>
          </w:pPr>
          <w:r>
            <w:rPr>
              <w:rFonts w:ascii="Times New Roman" w:hAnsi="Times New Roman" w:eastAsia="仿宋_GB2312"/>
              <w:highlight w:val="none"/>
            </w:rPr>
            <w:fldChar w:fldCharType="begin"/>
          </w:r>
          <w:r>
            <w:rPr>
              <w:rFonts w:ascii="Times New Roman" w:hAnsi="Times New Roman" w:eastAsia="仿宋_GB2312"/>
              <w:highlight w:val="none"/>
            </w:rPr>
            <w:instrText xml:space="preserve"> TOC \o "1-3" \h \z \u </w:instrText>
          </w:r>
          <w:r>
            <w:rPr>
              <w:rFonts w:ascii="Times New Roman" w:hAnsi="Times New Roman" w:eastAsia="仿宋_GB2312"/>
              <w:highlight w:val="none"/>
            </w:rPr>
            <w:fldChar w:fldCharType="separate"/>
          </w:r>
          <w:r>
            <w:rPr>
              <w:highlight w:val="none"/>
            </w:rPr>
            <w:fldChar w:fldCharType="begin"/>
          </w:r>
          <w:r>
            <w:rPr>
              <w:highlight w:val="none"/>
            </w:rPr>
            <w:instrText xml:space="preserve"> HYPERLINK \l "_Toc372191176" </w:instrText>
          </w:r>
          <w:r>
            <w:rPr>
              <w:highlight w:val="none"/>
            </w:rPr>
            <w:fldChar w:fldCharType="separate"/>
          </w:r>
          <w:r>
            <w:rPr>
              <w:rFonts w:ascii="Times New Roman" w:hAnsi="Times New Roman" w:eastAsia="黑体"/>
              <w:szCs w:val="24"/>
              <w:highlight w:val="none"/>
            </w:rPr>
            <w:t xml:space="preserve">1 </w:t>
          </w:r>
          <w:r>
            <w:rPr>
              <w:rFonts w:ascii="Times New Roman" w:hAnsi="黑体" w:eastAsia="黑体"/>
              <w:szCs w:val="24"/>
              <w:highlight w:val="none"/>
            </w:rPr>
            <w:t>项目简介</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_Toc372191176 </w:instrText>
          </w:r>
          <w:r>
            <w:rPr>
              <w:rFonts w:ascii="Times New Roman" w:hAnsi="Times New Roman" w:eastAsia="仿宋_GB2312"/>
              <w:highlight w:val="none"/>
            </w:rPr>
            <w:fldChar w:fldCharType="separate"/>
          </w:r>
          <w:r>
            <w:rPr>
              <w:rFonts w:ascii="Times New Roman" w:hAnsi="Times New Roman" w:eastAsia="仿宋_GB2312"/>
              <w:highlight w:val="none"/>
            </w:rPr>
            <w:t>3</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"_Toc2114072709" </w:instrText>
          </w:r>
          <w:r>
            <w:rPr>
              <w:highlight w:val="none"/>
            </w:rPr>
            <w:fldChar w:fldCharType="separate"/>
          </w:r>
          <w:r>
            <w:rPr>
              <w:rFonts w:ascii="Times New Roman" w:hAnsi="Times New Roman" w:eastAsia="仿宋_GB2312"/>
              <w:szCs w:val="24"/>
              <w:highlight w:val="none"/>
            </w:rPr>
            <w:t>1.1 项目介绍</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_Toc2114072709 </w:instrText>
          </w:r>
          <w:r>
            <w:rPr>
              <w:rFonts w:ascii="Times New Roman" w:hAnsi="Times New Roman" w:eastAsia="仿宋_GB2312"/>
              <w:highlight w:val="none"/>
            </w:rPr>
            <w:fldChar w:fldCharType="separate"/>
          </w:r>
          <w:r>
            <w:rPr>
              <w:rFonts w:ascii="Times New Roman" w:hAnsi="Times New Roman" w:eastAsia="仿宋_GB2312"/>
              <w:highlight w:val="none"/>
            </w:rPr>
            <w:t>3</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"_Toc63551545" </w:instrText>
          </w:r>
          <w:r>
            <w:rPr>
              <w:highlight w:val="none"/>
            </w:rPr>
            <w:fldChar w:fldCharType="separate"/>
          </w:r>
          <w:r>
            <w:rPr>
              <w:rFonts w:ascii="Times New Roman" w:hAnsi="Times New Roman" w:eastAsia="仿宋_GB2312"/>
              <w:szCs w:val="24"/>
              <w:highlight w:val="none"/>
            </w:rPr>
            <w:t>1.2 利益相关方参与计划的目标</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_Toc63551545 </w:instrText>
          </w:r>
          <w:r>
            <w:rPr>
              <w:rFonts w:ascii="Times New Roman" w:hAnsi="Times New Roman" w:eastAsia="仿宋_GB2312"/>
              <w:highlight w:val="none"/>
            </w:rPr>
            <w:fldChar w:fldCharType="separate"/>
          </w:r>
          <w:r>
            <w:rPr>
              <w:rFonts w:ascii="Times New Roman" w:hAnsi="Times New Roman" w:eastAsia="仿宋_GB2312"/>
              <w:highlight w:val="none"/>
            </w:rPr>
            <w:t>3</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0"/>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"_Toc267975642" </w:instrText>
          </w:r>
          <w:r>
            <w:rPr>
              <w:highlight w:val="none"/>
            </w:rPr>
            <w:fldChar w:fldCharType="separate"/>
          </w:r>
          <w:r>
            <w:rPr>
              <w:rFonts w:ascii="Times New Roman" w:hAnsi="Times New Roman" w:eastAsia="黑体"/>
              <w:szCs w:val="24"/>
              <w:highlight w:val="none"/>
            </w:rPr>
            <w:t xml:space="preserve">2 </w:t>
          </w:r>
          <w:r>
            <w:rPr>
              <w:rFonts w:ascii="Times New Roman" w:hAnsi="黑体" w:eastAsia="黑体"/>
              <w:szCs w:val="24"/>
              <w:highlight w:val="none"/>
            </w:rPr>
            <w:t>利益相关方的确定与分析</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_Toc267975642 </w:instrText>
          </w:r>
          <w:r>
            <w:rPr>
              <w:rFonts w:ascii="Times New Roman" w:hAnsi="Times New Roman" w:eastAsia="仿宋_GB2312"/>
              <w:highlight w:val="none"/>
            </w:rPr>
            <w:fldChar w:fldCharType="separate"/>
          </w:r>
          <w:r>
            <w:rPr>
              <w:rFonts w:ascii="Times New Roman" w:hAnsi="Times New Roman" w:eastAsia="仿宋_GB2312"/>
              <w:highlight w:val="none"/>
            </w:rPr>
            <w:t>4</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"_Toc974411328" </w:instrText>
          </w:r>
          <w:r>
            <w:rPr>
              <w:highlight w:val="none"/>
            </w:rPr>
            <w:fldChar w:fldCharType="separate"/>
          </w:r>
          <w:r>
            <w:rPr>
              <w:rFonts w:ascii="Times New Roman" w:hAnsi="Times New Roman" w:eastAsia="仿宋_GB2312"/>
              <w:szCs w:val="24"/>
              <w:highlight w:val="none"/>
            </w:rPr>
            <w:t>2.1 受项目影响各方</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_Toc974411328 </w:instrText>
          </w:r>
          <w:r>
            <w:rPr>
              <w:rFonts w:ascii="Times New Roman" w:hAnsi="Times New Roman" w:eastAsia="仿宋_GB2312"/>
              <w:highlight w:val="none"/>
            </w:rPr>
            <w:fldChar w:fldCharType="separate"/>
          </w:r>
          <w:r>
            <w:rPr>
              <w:rFonts w:ascii="Times New Roman" w:hAnsi="Times New Roman" w:eastAsia="仿宋_GB2312"/>
              <w:highlight w:val="none"/>
            </w:rPr>
            <w:t>4</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"_Toc1756055480" </w:instrText>
          </w:r>
          <w:r>
            <w:rPr>
              <w:highlight w:val="none"/>
            </w:rPr>
            <w:fldChar w:fldCharType="separate"/>
          </w:r>
          <w:r>
            <w:rPr>
              <w:rFonts w:ascii="Times New Roman" w:hAnsi="Times New Roman" w:eastAsia="仿宋_GB2312"/>
              <w:szCs w:val="24"/>
              <w:highlight w:val="none"/>
            </w:rPr>
            <w:t>2.2 弱势/脆弱个人或群体</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_Toc1756055480 </w:instrText>
          </w:r>
          <w:r>
            <w:rPr>
              <w:rFonts w:ascii="Times New Roman" w:hAnsi="Times New Roman" w:eastAsia="仿宋_GB2312"/>
              <w:highlight w:val="none"/>
            </w:rPr>
            <w:fldChar w:fldCharType="separate"/>
          </w:r>
          <w:r>
            <w:rPr>
              <w:rFonts w:ascii="Times New Roman" w:hAnsi="Times New Roman" w:eastAsia="仿宋_GB2312"/>
              <w:highlight w:val="none"/>
            </w:rPr>
            <w:t>5</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"_Toc1987353265" </w:instrText>
          </w:r>
          <w:r>
            <w:rPr>
              <w:highlight w:val="none"/>
            </w:rPr>
            <w:fldChar w:fldCharType="separate"/>
          </w:r>
          <w:r>
            <w:rPr>
              <w:rFonts w:ascii="Times New Roman" w:hAnsi="Times New Roman" w:eastAsia="仿宋_GB2312"/>
              <w:szCs w:val="24"/>
              <w:highlight w:val="none"/>
            </w:rPr>
            <w:t>2.3 项目利益相关方需求摘要</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_Toc1987353265 </w:instrText>
          </w:r>
          <w:r>
            <w:rPr>
              <w:rFonts w:ascii="Times New Roman" w:hAnsi="Times New Roman" w:eastAsia="仿宋_GB2312"/>
              <w:highlight w:val="none"/>
            </w:rPr>
            <w:fldChar w:fldCharType="separate"/>
          </w:r>
          <w:r>
            <w:rPr>
              <w:rFonts w:ascii="Times New Roman" w:hAnsi="Times New Roman" w:eastAsia="仿宋_GB2312"/>
              <w:highlight w:val="none"/>
            </w:rPr>
            <w:t>6</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0"/>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"_Toc326431200" </w:instrText>
          </w:r>
          <w:r>
            <w:rPr>
              <w:highlight w:val="none"/>
            </w:rPr>
            <w:fldChar w:fldCharType="separate"/>
          </w:r>
          <w:r>
            <w:rPr>
              <w:rFonts w:ascii="Times New Roman" w:hAnsi="Times New Roman" w:eastAsia="黑体"/>
              <w:szCs w:val="24"/>
              <w:highlight w:val="none"/>
            </w:rPr>
            <w:t xml:space="preserve">3 </w:t>
          </w:r>
          <w:r>
            <w:rPr>
              <w:rFonts w:ascii="Times New Roman" w:hAnsi="黑体" w:eastAsia="黑体"/>
              <w:szCs w:val="24"/>
              <w:highlight w:val="none"/>
            </w:rPr>
            <w:t>利益相关方磋商计划</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_Toc326431200 </w:instrText>
          </w:r>
          <w:r>
            <w:rPr>
              <w:rFonts w:ascii="Times New Roman" w:hAnsi="Times New Roman" w:eastAsia="仿宋_GB2312"/>
              <w:highlight w:val="none"/>
            </w:rPr>
            <w:fldChar w:fldCharType="separate"/>
          </w:r>
          <w:r>
            <w:rPr>
              <w:rFonts w:ascii="Times New Roman" w:hAnsi="Times New Roman" w:eastAsia="仿宋_GB2312"/>
              <w:highlight w:val="none"/>
            </w:rPr>
            <w:t>8</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"_Toc1123286928" </w:instrText>
          </w:r>
          <w:r>
            <w:rPr>
              <w:highlight w:val="none"/>
            </w:rPr>
            <w:fldChar w:fldCharType="separate"/>
          </w:r>
          <w:r>
            <w:rPr>
              <w:rFonts w:ascii="Times New Roman" w:hAnsi="Times New Roman" w:eastAsia="仿宋_GB2312"/>
              <w:szCs w:val="24"/>
              <w:highlight w:val="none"/>
            </w:rPr>
            <w:t>3.1 利益相关方磋商计划的目的和时间</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_Toc1123286928 </w:instrText>
          </w:r>
          <w:r>
            <w:rPr>
              <w:rFonts w:ascii="Times New Roman" w:hAnsi="Times New Roman" w:eastAsia="仿宋_GB2312"/>
              <w:highlight w:val="none"/>
            </w:rPr>
            <w:fldChar w:fldCharType="separate"/>
          </w:r>
          <w:r>
            <w:rPr>
              <w:rFonts w:ascii="Times New Roman" w:hAnsi="Times New Roman" w:eastAsia="仿宋_GB2312"/>
              <w:highlight w:val="none"/>
            </w:rPr>
            <w:t>8</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"_Toc2022590134" </w:instrText>
          </w:r>
          <w:r>
            <w:rPr>
              <w:highlight w:val="none"/>
            </w:rPr>
            <w:fldChar w:fldCharType="separate"/>
          </w:r>
          <w:r>
            <w:rPr>
              <w:rFonts w:ascii="Times New Roman" w:hAnsi="Times New Roman" w:eastAsia="仿宋_GB2312"/>
              <w:szCs w:val="24"/>
              <w:highlight w:val="none"/>
            </w:rPr>
            <w:t>3.2 拟议的信息披露策略</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_Toc2022590134 </w:instrText>
          </w:r>
          <w:r>
            <w:rPr>
              <w:rFonts w:ascii="Times New Roman" w:hAnsi="Times New Roman" w:eastAsia="仿宋_GB2312"/>
              <w:highlight w:val="none"/>
            </w:rPr>
            <w:fldChar w:fldCharType="separate"/>
          </w:r>
          <w:r>
            <w:rPr>
              <w:rFonts w:ascii="Times New Roman" w:hAnsi="Times New Roman" w:eastAsia="仿宋_GB2312"/>
              <w:highlight w:val="none"/>
            </w:rPr>
            <w:t>9</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"_Toc638510933" </w:instrText>
          </w:r>
          <w:r>
            <w:rPr>
              <w:highlight w:val="none"/>
            </w:rPr>
            <w:fldChar w:fldCharType="separate"/>
          </w:r>
          <w:r>
            <w:rPr>
              <w:rFonts w:ascii="Times New Roman" w:hAnsi="Times New Roman" w:eastAsia="仿宋_GB2312"/>
              <w:szCs w:val="24"/>
              <w:highlight w:val="none"/>
            </w:rPr>
            <w:t>3.3 拟议的磋商策略</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_Toc638510933 </w:instrText>
          </w:r>
          <w:r>
            <w:rPr>
              <w:rFonts w:ascii="Times New Roman" w:hAnsi="Times New Roman" w:eastAsia="仿宋_GB2312"/>
              <w:highlight w:val="none"/>
            </w:rPr>
            <w:fldChar w:fldCharType="separate"/>
          </w:r>
          <w:r>
            <w:rPr>
              <w:rFonts w:ascii="Times New Roman" w:hAnsi="Times New Roman" w:eastAsia="仿宋_GB2312"/>
              <w:highlight w:val="none"/>
            </w:rPr>
            <w:t>9</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"_Toc811789106" </w:instrText>
          </w:r>
          <w:r>
            <w:rPr>
              <w:highlight w:val="none"/>
            </w:rPr>
            <w:fldChar w:fldCharType="separate"/>
          </w:r>
          <w:r>
            <w:rPr>
              <w:rFonts w:ascii="Times New Roman" w:hAnsi="Times New Roman" w:eastAsia="仿宋_GB2312"/>
              <w:szCs w:val="24"/>
              <w:highlight w:val="none"/>
            </w:rPr>
            <w:t>3.4 拟议策略纳入脆弱群体的意见</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_Toc811789106 </w:instrText>
          </w:r>
          <w:r>
            <w:rPr>
              <w:rFonts w:ascii="Times New Roman" w:hAnsi="Times New Roman" w:eastAsia="仿宋_GB2312"/>
              <w:highlight w:val="none"/>
            </w:rPr>
            <w:fldChar w:fldCharType="separate"/>
          </w:r>
          <w:r>
            <w:rPr>
              <w:rFonts w:ascii="Times New Roman" w:hAnsi="Times New Roman" w:eastAsia="仿宋_GB2312"/>
              <w:highlight w:val="none"/>
            </w:rPr>
            <w:t>12</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"_Toc877516176" </w:instrText>
          </w:r>
          <w:r>
            <w:rPr>
              <w:highlight w:val="none"/>
            </w:rPr>
            <w:fldChar w:fldCharType="separate"/>
          </w:r>
          <w:r>
            <w:rPr>
              <w:rFonts w:ascii="Times New Roman" w:hAnsi="Times New Roman" w:eastAsia="仿宋_GB2312"/>
              <w:szCs w:val="24"/>
              <w:highlight w:val="none"/>
            </w:rPr>
            <w:t>3.5 时间表</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_Toc877516176 </w:instrText>
          </w:r>
          <w:r>
            <w:rPr>
              <w:rFonts w:ascii="Times New Roman" w:hAnsi="Times New Roman" w:eastAsia="仿宋_GB2312"/>
              <w:highlight w:val="none"/>
            </w:rPr>
            <w:fldChar w:fldCharType="separate"/>
          </w:r>
          <w:r>
            <w:rPr>
              <w:rFonts w:ascii="Times New Roman" w:hAnsi="Times New Roman" w:eastAsia="仿宋_GB2312"/>
              <w:highlight w:val="none"/>
            </w:rPr>
            <w:t>15</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"_Toc39333241" </w:instrText>
          </w:r>
          <w:r>
            <w:rPr>
              <w:highlight w:val="none"/>
            </w:rPr>
            <w:fldChar w:fldCharType="separate"/>
          </w:r>
          <w:r>
            <w:rPr>
              <w:rFonts w:ascii="Times New Roman" w:hAnsi="Times New Roman" w:eastAsia="仿宋_GB2312"/>
              <w:szCs w:val="24"/>
              <w:highlight w:val="none"/>
            </w:rPr>
            <w:t>3.6 意见审核</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_Toc39333241 </w:instrText>
          </w:r>
          <w:r>
            <w:rPr>
              <w:rFonts w:ascii="Times New Roman" w:hAnsi="Times New Roman" w:eastAsia="仿宋_GB2312"/>
              <w:highlight w:val="none"/>
            </w:rPr>
            <w:fldChar w:fldCharType="separate"/>
          </w:r>
          <w:r>
            <w:rPr>
              <w:rFonts w:ascii="Times New Roman" w:hAnsi="Times New Roman" w:eastAsia="仿宋_GB2312"/>
              <w:highlight w:val="none"/>
            </w:rPr>
            <w:t>15</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"_Toc954775199" </w:instrText>
          </w:r>
          <w:r>
            <w:rPr>
              <w:highlight w:val="none"/>
            </w:rPr>
            <w:fldChar w:fldCharType="separate"/>
          </w:r>
          <w:r>
            <w:rPr>
              <w:rFonts w:ascii="Times New Roman" w:hAnsi="Times New Roman" w:eastAsia="仿宋_GB2312"/>
              <w:szCs w:val="24"/>
              <w:highlight w:val="none"/>
            </w:rPr>
            <w:t>3.7 项目未来阶段</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_Toc954775199 </w:instrText>
          </w:r>
          <w:r>
            <w:rPr>
              <w:rFonts w:ascii="Times New Roman" w:hAnsi="Times New Roman" w:eastAsia="仿宋_GB2312"/>
              <w:highlight w:val="none"/>
            </w:rPr>
            <w:fldChar w:fldCharType="separate"/>
          </w:r>
          <w:r>
            <w:rPr>
              <w:rFonts w:ascii="Times New Roman" w:hAnsi="Times New Roman" w:eastAsia="仿宋_GB2312"/>
              <w:highlight w:val="none"/>
            </w:rPr>
            <w:t>16</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0"/>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"_Toc64528293" </w:instrText>
          </w:r>
          <w:r>
            <w:rPr>
              <w:highlight w:val="none"/>
            </w:rPr>
            <w:fldChar w:fldCharType="separate"/>
          </w:r>
          <w:r>
            <w:rPr>
              <w:rFonts w:ascii="Times New Roman" w:hAnsi="Times New Roman" w:eastAsia="黑体"/>
              <w:szCs w:val="24"/>
              <w:highlight w:val="none"/>
            </w:rPr>
            <w:t xml:space="preserve">4 </w:t>
          </w:r>
          <w:r>
            <w:rPr>
              <w:rFonts w:ascii="Times New Roman" w:hAnsi="黑体" w:eastAsia="黑体"/>
              <w:szCs w:val="24"/>
              <w:highlight w:val="none"/>
            </w:rPr>
            <w:t>实施利益相关方磋商活动的资源和职责</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_Toc64528293 </w:instrText>
          </w:r>
          <w:r>
            <w:rPr>
              <w:rFonts w:ascii="Times New Roman" w:hAnsi="Times New Roman" w:eastAsia="仿宋_GB2312"/>
              <w:highlight w:val="none"/>
            </w:rPr>
            <w:fldChar w:fldCharType="separate"/>
          </w:r>
          <w:r>
            <w:rPr>
              <w:rFonts w:ascii="Times New Roman" w:hAnsi="Times New Roman" w:eastAsia="仿宋_GB2312"/>
              <w:highlight w:val="none"/>
            </w:rPr>
            <w:t>16</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"_Toc968722251" </w:instrText>
          </w:r>
          <w:r>
            <w:rPr>
              <w:highlight w:val="none"/>
            </w:rPr>
            <w:fldChar w:fldCharType="separate"/>
          </w:r>
          <w:r>
            <w:rPr>
              <w:rFonts w:ascii="Times New Roman" w:hAnsi="Times New Roman" w:eastAsia="仿宋_GB2312"/>
              <w:szCs w:val="24"/>
              <w:highlight w:val="none"/>
            </w:rPr>
            <w:t>4.1 资源</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_Toc968722251 </w:instrText>
          </w:r>
          <w:r>
            <w:rPr>
              <w:rFonts w:ascii="Times New Roman" w:hAnsi="Times New Roman" w:eastAsia="仿宋_GB2312"/>
              <w:highlight w:val="none"/>
            </w:rPr>
            <w:fldChar w:fldCharType="separate"/>
          </w:r>
          <w:r>
            <w:rPr>
              <w:rFonts w:ascii="Times New Roman" w:hAnsi="Times New Roman" w:eastAsia="仿宋_GB2312"/>
              <w:highlight w:val="none"/>
            </w:rPr>
            <w:t>16</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"_Toc1865403971" </w:instrText>
          </w:r>
          <w:r>
            <w:rPr>
              <w:highlight w:val="none"/>
            </w:rPr>
            <w:fldChar w:fldCharType="separate"/>
          </w:r>
          <w:r>
            <w:rPr>
              <w:rFonts w:ascii="Times New Roman" w:hAnsi="Times New Roman" w:eastAsia="仿宋_GB2312"/>
              <w:szCs w:val="24"/>
              <w:highlight w:val="none"/>
            </w:rPr>
            <w:t>4.2 管理职能和职责</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_Toc1865403971 </w:instrText>
          </w:r>
          <w:r>
            <w:rPr>
              <w:rFonts w:ascii="Times New Roman" w:hAnsi="Times New Roman" w:eastAsia="仿宋_GB2312"/>
              <w:highlight w:val="none"/>
            </w:rPr>
            <w:fldChar w:fldCharType="separate"/>
          </w:r>
          <w:r>
            <w:rPr>
              <w:rFonts w:ascii="Times New Roman" w:hAnsi="Times New Roman" w:eastAsia="仿宋_GB2312"/>
              <w:highlight w:val="none"/>
            </w:rPr>
            <w:t>17</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0"/>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"_Toc2008633722" </w:instrText>
          </w:r>
          <w:r>
            <w:rPr>
              <w:highlight w:val="none"/>
            </w:rPr>
            <w:fldChar w:fldCharType="separate"/>
          </w:r>
          <w:r>
            <w:rPr>
              <w:rFonts w:ascii="Times New Roman" w:hAnsi="Times New Roman" w:eastAsia="黑体"/>
              <w:szCs w:val="24"/>
              <w:highlight w:val="none"/>
            </w:rPr>
            <w:t xml:space="preserve">5 </w:t>
          </w:r>
          <w:r>
            <w:rPr>
              <w:rFonts w:ascii="Times New Roman" w:hAnsi="黑体" w:eastAsia="黑体"/>
              <w:szCs w:val="24"/>
              <w:highlight w:val="none"/>
            </w:rPr>
            <w:t>申诉机制</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_Toc2008633722 </w:instrText>
          </w:r>
          <w:r>
            <w:rPr>
              <w:rFonts w:ascii="Times New Roman" w:hAnsi="Times New Roman" w:eastAsia="仿宋_GB2312"/>
              <w:highlight w:val="none"/>
            </w:rPr>
            <w:fldChar w:fldCharType="separate"/>
          </w:r>
          <w:r>
            <w:rPr>
              <w:rFonts w:ascii="Times New Roman" w:hAnsi="Times New Roman" w:eastAsia="仿宋_GB2312"/>
              <w:highlight w:val="none"/>
            </w:rPr>
            <w:t>18</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"_Toc468838945" </w:instrText>
          </w:r>
          <w:r>
            <w:rPr>
              <w:highlight w:val="none"/>
            </w:rPr>
            <w:fldChar w:fldCharType="separate"/>
          </w:r>
          <w:r>
            <w:rPr>
              <w:rFonts w:ascii="Times New Roman" w:hAnsi="Times New Roman" w:eastAsia="仿宋_GB2312"/>
              <w:szCs w:val="24"/>
              <w:highlight w:val="none"/>
            </w:rPr>
            <w:t>5.1 项目层面申诉机制安排</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_Toc468838945 </w:instrText>
          </w:r>
          <w:r>
            <w:rPr>
              <w:rFonts w:ascii="Times New Roman" w:hAnsi="Times New Roman" w:eastAsia="仿宋_GB2312"/>
              <w:highlight w:val="none"/>
            </w:rPr>
            <w:fldChar w:fldCharType="separate"/>
          </w:r>
          <w:r>
            <w:rPr>
              <w:rFonts w:ascii="Times New Roman" w:hAnsi="Times New Roman" w:eastAsia="仿宋_GB2312"/>
              <w:highlight w:val="none"/>
            </w:rPr>
            <w:t>18</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"_Toc1003739275" </w:instrText>
          </w:r>
          <w:r>
            <w:rPr>
              <w:highlight w:val="none"/>
            </w:rPr>
            <w:fldChar w:fldCharType="separate"/>
          </w:r>
          <w:r>
            <w:rPr>
              <w:rFonts w:ascii="Times New Roman" w:hAnsi="Times New Roman" w:eastAsia="仿宋_GB2312"/>
              <w:szCs w:val="24"/>
              <w:highlight w:val="none"/>
            </w:rPr>
            <w:t>5.2 项目工人申诉机制安排</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_Toc1003739275 </w:instrText>
          </w:r>
          <w:r>
            <w:rPr>
              <w:rFonts w:ascii="Times New Roman" w:hAnsi="Times New Roman" w:eastAsia="仿宋_GB2312"/>
              <w:highlight w:val="none"/>
            </w:rPr>
            <w:fldChar w:fldCharType="separate"/>
          </w:r>
          <w:r>
            <w:rPr>
              <w:rFonts w:ascii="Times New Roman" w:hAnsi="Times New Roman" w:eastAsia="仿宋_GB2312"/>
              <w:highlight w:val="none"/>
            </w:rPr>
            <w:t>20</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0"/>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"_Toc222722730" </w:instrText>
          </w:r>
          <w:r>
            <w:rPr>
              <w:highlight w:val="none"/>
            </w:rPr>
            <w:fldChar w:fldCharType="separate"/>
          </w:r>
          <w:r>
            <w:rPr>
              <w:rFonts w:ascii="Times New Roman" w:hAnsi="Times New Roman" w:eastAsia="黑体"/>
              <w:szCs w:val="24"/>
              <w:highlight w:val="none"/>
            </w:rPr>
            <w:t xml:space="preserve">6 </w:t>
          </w:r>
          <w:r>
            <w:rPr>
              <w:rFonts w:ascii="Times New Roman" w:hAnsi="黑体" w:eastAsia="黑体"/>
              <w:szCs w:val="24"/>
              <w:highlight w:val="none"/>
            </w:rPr>
            <w:t>监测和报告</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_Toc222722730 </w:instrText>
          </w:r>
          <w:r>
            <w:rPr>
              <w:rFonts w:ascii="Times New Roman" w:hAnsi="Times New Roman" w:eastAsia="仿宋_GB2312"/>
              <w:highlight w:val="none"/>
            </w:rPr>
            <w:fldChar w:fldCharType="separate"/>
          </w:r>
          <w:r>
            <w:rPr>
              <w:rFonts w:ascii="Times New Roman" w:hAnsi="Times New Roman" w:eastAsia="仿宋_GB2312"/>
              <w:highlight w:val="none"/>
            </w:rPr>
            <w:t>21</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"_Toc349722283" </w:instrText>
          </w:r>
          <w:r>
            <w:rPr>
              <w:highlight w:val="none"/>
            </w:rPr>
            <w:fldChar w:fldCharType="separate"/>
          </w:r>
          <w:r>
            <w:rPr>
              <w:rFonts w:ascii="Times New Roman" w:hAnsi="Times New Roman" w:eastAsia="仿宋_GB2312"/>
              <w:szCs w:val="24"/>
              <w:highlight w:val="none"/>
            </w:rPr>
            <w:t>6.1 利益相关方在监督活动中的参与</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_Toc349722283 </w:instrText>
          </w:r>
          <w:r>
            <w:rPr>
              <w:rFonts w:ascii="Times New Roman" w:hAnsi="Times New Roman" w:eastAsia="仿宋_GB2312"/>
              <w:highlight w:val="none"/>
            </w:rPr>
            <w:fldChar w:fldCharType="separate"/>
          </w:r>
          <w:r>
            <w:rPr>
              <w:rFonts w:ascii="Times New Roman" w:hAnsi="Times New Roman" w:eastAsia="仿宋_GB2312"/>
              <w:highlight w:val="none"/>
            </w:rPr>
            <w:t>21</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3"/>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"_Toc151888735" </w:instrText>
          </w:r>
          <w:r>
            <w:rPr>
              <w:highlight w:val="none"/>
            </w:rPr>
            <w:fldChar w:fldCharType="separate"/>
          </w:r>
          <w:r>
            <w:rPr>
              <w:rFonts w:ascii="Times New Roman" w:hAnsi="Times New Roman" w:eastAsia="仿宋_GB2312"/>
              <w:szCs w:val="24"/>
              <w:highlight w:val="none"/>
            </w:rPr>
            <w:t>6.2 向利益相关方群体反馈</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_Toc151888735 </w:instrText>
          </w:r>
          <w:r>
            <w:rPr>
              <w:rFonts w:ascii="Times New Roman" w:hAnsi="Times New Roman" w:eastAsia="仿宋_GB2312"/>
              <w:highlight w:val="none"/>
            </w:rPr>
            <w:fldChar w:fldCharType="separate"/>
          </w:r>
          <w:r>
            <w:rPr>
              <w:rFonts w:ascii="Times New Roman" w:hAnsi="Times New Roman" w:eastAsia="仿宋_GB2312"/>
              <w:highlight w:val="none"/>
            </w:rPr>
            <w:t>22</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pStyle w:val="20"/>
            <w:tabs>
              <w:tab w:val="right" w:leader="dot" w:pos="8306"/>
            </w:tabs>
            <w:spacing w:after="0" w:line="440" w:lineRule="exact"/>
            <w:rPr>
              <w:rFonts w:ascii="Times New Roman" w:hAnsi="Times New Roman" w:eastAsia="仿宋_GB2312"/>
              <w:highlight w:val="none"/>
            </w:rPr>
          </w:pPr>
          <w:r>
            <w:rPr>
              <w:highlight w:val="none"/>
            </w:rPr>
            <w:fldChar w:fldCharType="begin"/>
          </w:r>
          <w:r>
            <w:rPr>
              <w:highlight w:val="none"/>
            </w:rPr>
            <w:instrText xml:space="preserve"> HYPERLINK \l "_Toc551103504" </w:instrText>
          </w:r>
          <w:r>
            <w:rPr>
              <w:highlight w:val="none"/>
            </w:rPr>
            <w:fldChar w:fldCharType="separate"/>
          </w:r>
          <w:r>
            <w:rPr>
              <w:rFonts w:ascii="Times New Roman" w:hAnsi="黑体" w:eastAsia="黑体"/>
              <w:szCs w:val="24"/>
              <w:highlight w:val="none"/>
            </w:rPr>
            <w:t>附件</w:t>
          </w:r>
          <w:r>
            <w:rPr>
              <w:rFonts w:ascii="Times New Roman" w:hAnsi="Times New Roman" w:eastAsia="黑体"/>
              <w:szCs w:val="24"/>
              <w:highlight w:val="none"/>
            </w:rPr>
            <w:t xml:space="preserve">1 </w:t>
          </w:r>
          <w:r>
            <w:rPr>
              <w:rFonts w:ascii="Times New Roman" w:hAnsi="黑体" w:eastAsia="黑体"/>
              <w:szCs w:val="24"/>
              <w:highlight w:val="none"/>
            </w:rPr>
            <w:t>抱怨申诉机制样表</w:t>
          </w:r>
          <w:r>
            <w:rPr>
              <w:rFonts w:ascii="Times New Roman" w:hAnsi="Times New Roman" w:eastAsia="仿宋_GB2312"/>
              <w:highlight w:val="none"/>
            </w:rPr>
            <w:tab/>
          </w:r>
          <w:r>
            <w:rPr>
              <w:rFonts w:ascii="Times New Roman" w:hAnsi="Times New Roman" w:eastAsia="仿宋_GB2312"/>
              <w:highlight w:val="none"/>
            </w:rPr>
            <w:fldChar w:fldCharType="begin"/>
          </w:r>
          <w:r>
            <w:rPr>
              <w:rFonts w:ascii="Times New Roman" w:hAnsi="Times New Roman" w:eastAsia="仿宋_GB2312"/>
              <w:highlight w:val="none"/>
            </w:rPr>
            <w:instrText xml:space="preserve"> PAGEREF _Toc551103504 </w:instrText>
          </w:r>
          <w:r>
            <w:rPr>
              <w:rFonts w:ascii="Times New Roman" w:hAnsi="Times New Roman" w:eastAsia="仿宋_GB2312"/>
              <w:highlight w:val="none"/>
            </w:rPr>
            <w:fldChar w:fldCharType="separate"/>
          </w:r>
          <w:r>
            <w:rPr>
              <w:rFonts w:ascii="Times New Roman" w:hAnsi="Times New Roman" w:eastAsia="仿宋_GB2312"/>
              <w:highlight w:val="none"/>
            </w:rPr>
            <w:t>23</w:t>
          </w:r>
          <w:r>
            <w:rPr>
              <w:rFonts w:ascii="Times New Roman" w:hAnsi="Times New Roman" w:eastAsia="仿宋_GB2312"/>
              <w:highlight w:val="none"/>
            </w:rPr>
            <w:fldChar w:fldCharType="end"/>
          </w:r>
          <w:r>
            <w:rPr>
              <w:rFonts w:ascii="Times New Roman" w:hAnsi="Times New Roman" w:eastAsia="仿宋_GB2312"/>
              <w:highlight w:val="none"/>
            </w:rPr>
            <w:fldChar w:fldCharType="end"/>
          </w:r>
        </w:p>
        <w:p>
          <w:pPr>
            <w:spacing w:after="0" w:line="360" w:lineRule="exact"/>
            <w:rPr>
              <w:rFonts w:ascii="Times New Roman" w:hAnsi="Times New Roman"/>
              <w:highlight w:val="none"/>
            </w:rPr>
          </w:pPr>
          <w:r>
            <w:rPr>
              <w:rFonts w:ascii="Times New Roman" w:hAnsi="Times New Roman" w:eastAsia="仿宋_GB2312"/>
              <w:bCs/>
              <w:highlight w:val="none"/>
              <w:lang w:val="zh-CN"/>
            </w:rPr>
            <w:fldChar w:fldCharType="end"/>
          </w:r>
        </w:p>
      </w:sdtContent>
    </w:sdt>
    <w:p>
      <w:pPr>
        <w:spacing w:line="300" w:lineRule="exact"/>
        <w:rPr>
          <w:rFonts w:ascii="Times New Roman" w:hAnsi="Times New Roman" w:eastAsia="宋体"/>
          <w:sz w:val="24"/>
          <w:szCs w:val="24"/>
          <w:highlight w:val="none"/>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widowControl/>
        <w:spacing w:before="312" w:beforeLines="100" w:after="312" w:afterLines="100" w:line="276" w:lineRule="auto"/>
        <w:jc w:val="center"/>
        <w:rPr>
          <w:rFonts w:ascii="Times New Roman" w:hAnsi="Times New Roman" w:eastAsia="方正小标宋简体"/>
          <w:b/>
          <w:bCs/>
          <w:kern w:val="0"/>
          <w:sz w:val="44"/>
          <w:szCs w:val="44"/>
          <w:highlight w:val="none"/>
        </w:rPr>
      </w:pPr>
      <w:r>
        <w:rPr>
          <w:rFonts w:ascii="Times New Roman" w:hAnsi="Times New Roman" w:eastAsia="方正小标宋简体"/>
          <w:b/>
          <w:bCs/>
          <w:spacing w:val="20"/>
          <w:kern w:val="0"/>
          <w:sz w:val="44"/>
          <w:szCs w:val="44"/>
          <w:highlight w:val="none"/>
        </w:rPr>
        <w:t>执行概</w:t>
      </w:r>
      <w:r>
        <w:rPr>
          <w:rFonts w:ascii="Times New Roman" w:hAnsi="Times New Roman" w:eastAsia="方正小标宋简体"/>
          <w:b/>
          <w:bCs/>
          <w:kern w:val="0"/>
          <w:sz w:val="44"/>
          <w:szCs w:val="44"/>
          <w:highlight w:val="none"/>
        </w:rPr>
        <w:t>要</w:t>
      </w:r>
    </w:p>
    <w:p>
      <w:pPr>
        <w:widowControl/>
        <w:spacing w:after="0" w:line="240" w:lineRule="auto"/>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本利益相关方参与计划（本计划）是在“预防、准备和应对新发传染病”项目已制定完成的利益相关者参与计划的基础上为农业农村部子项目准备。</w:t>
      </w:r>
    </w:p>
    <w:p>
      <w:pPr>
        <w:widowControl/>
        <w:spacing w:after="0" w:line="240" w:lineRule="auto"/>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本计划按各子项目活动的利益相关方进行了识别，鉴别了每个子项目活动在不同阶段的关键相关方，评价了其对项目的影响力。在此基础上，对项目利益相关进行了汇总分析。根据各子项目的活动和特点，不涉及需要特殊审批的事项，仅需对项目进行日常的管理和监督。</w:t>
      </w:r>
    </w:p>
    <w:p>
      <w:pPr>
        <w:widowControl/>
        <w:spacing w:after="0" w:line="240" w:lineRule="auto"/>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世界银行“预防、准备与应对新发传染病项目”农业农村部子项目在农业农村部畜牧兽医局、计划财务司指导下执行，中国动物卫生与流行病学中心负责日常实施。项目还将吸纳相关科研机构和专家提供技术服务。</w:t>
      </w:r>
    </w:p>
    <w:p>
      <w:pPr>
        <w:widowControl/>
        <w:spacing w:after="0" w:line="240" w:lineRule="auto"/>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本项目受影响方包括社区居民、畜禽养殖户、动物疫病防控人员、相关领域实验室科研人员等。</w:t>
      </w:r>
    </w:p>
    <w:p>
      <w:pPr>
        <w:widowControl/>
        <w:spacing w:after="0" w:line="240" w:lineRule="auto"/>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本项目其他利益相关方包括项目办及项目专家组等。根据各子项目的活动和特点，不涉及需要特殊审批的事项，仅需对项目进行日常的管理和监督。</w:t>
      </w:r>
    </w:p>
    <w:p>
      <w:pPr>
        <w:widowControl/>
        <w:spacing w:after="0" w:line="240" w:lineRule="auto"/>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在项目受影响方中，进一步识别了项目的弱势群体，主要包括：低收入人群、老人、妇女、留守儿童、残疾人及传染病患者等，并识别了他们的主要利益和需求。</w:t>
      </w:r>
    </w:p>
    <w:p>
      <w:pPr>
        <w:widowControl/>
        <w:spacing w:after="0" w:line="240" w:lineRule="auto"/>
        <w:ind w:firstLine="640" w:firstLineChars="200"/>
        <w:rPr>
          <w:rFonts w:ascii="Times New Roman" w:hAnsi="Times New Roman" w:eastAsia="仿宋"/>
          <w:kern w:val="0"/>
          <w:sz w:val="32"/>
          <w:szCs w:val="32"/>
          <w:highlight w:val="none"/>
        </w:rPr>
      </w:pPr>
      <w:r>
        <w:rPr>
          <w:rFonts w:ascii="Times New Roman" w:hAnsi="Times New Roman" w:eastAsia="仿宋"/>
          <w:kern w:val="0"/>
          <w:sz w:val="32"/>
          <w:szCs w:val="32"/>
          <w:highlight w:val="none"/>
        </w:rPr>
        <w:t>在对各子项目活动利益相关方识别和分析的基础上，制定了相应的项目信息（尤其是项目环境和社会影响信息）发布计划，利益相关方磋商计划及反馈机制，以及项目及员工抱怨申诉机制；本计划对项目办组织保障、资源及环境和社会绩效监测等做了安排。</w:t>
      </w:r>
    </w:p>
    <w:p>
      <w:pPr>
        <w:widowControl/>
        <w:jc w:val="center"/>
        <w:rPr>
          <w:rFonts w:ascii="Times New Roman" w:hAnsi="Times New Roman" w:eastAsia="宋体"/>
          <w:b/>
          <w:bCs/>
          <w:kern w:val="0"/>
          <w:sz w:val="24"/>
          <w:szCs w:val="24"/>
          <w:highlight w:val="none"/>
        </w:rPr>
      </w:pPr>
    </w:p>
    <w:p>
      <w:pPr>
        <w:widowControl/>
        <w:jc w:val="center"/>
        <w:rPr>
          <w:rFonts w:ascii="Times New Roman" w:hAnsi="Times New Roman" w:eastAsia="宋体"/>
          <w:b/>
          <w:bCs/>
          <w:kern w:val="0"/>
          <w:sz w:val="24"/>
          <w:szCs w:val="24"/>
          <w:highlight w:val="none"/>
        </w:rPr>
      </w:pPr>
    </w:p>
    <w:p>
      <w:pPr>
        <w:widowControl/>
        <w:jc w:val="center"/>
        <w:rPr>
          <w:rFonts w:ascii="Times New Roman" w:hAnsi="Times New Roman" w:eastAsia="宋体"/>
          <w:b/>
          <w:bCs/>
          <w:kern w:val="0"/>
          <w:sz w:val="24"/>
          <w:szCs w:val="24"/>
          <w:highlight w:val="none"/>
        </w:rPr>
      </w:pPr>
    </w:p>
    <w:p>
      <w:pPr>
        <w:widowControl/>
        <w:jc w:val="center"/>
        <w:rPr>
          <w:rFonts w:ascii="Times New Roman" w:hAnsi="Times New Roman" w:eastAsia="宋体"/>
          <w:b/>
          <w:bCs/>
          <w:kern w:val="0"/>
          <w:sz w:val="24"/>
          <w:szCs w:val="24"/>
          <w:highlight w:val="none"/>
        </w:rPr>
      </w:pPr>
    </w:p>
    <w:p>
      <w:pPr>
        <w:widowControl/>
        <w:jc w:val="center"/>
        <w:rPr>
          <w:rFonts w:ascii="Times New Roman" w:hAnsi="Times New Roman" w:eastAsia="宋体"/>
          <w:b/>
          <w:bCs/>
          <w:kern w:val="0"/>
          <w:sz w:val="24"/>
          <w:szCs w:val="24"/>
          <w:highlight w:val="none"/>
        </w:rPr>
      </w:pPr>
    </w:p>
    <w:p>
      <w:pPr>
        <w:widowControl/>
        <w:jc w:val="center"/>
        <w:rPr>
          <w:rFonts w:ascii="Times New Roman" w:hAnsi="Times New Roman" w:eastAsia="宋体"/>
          <w:b/>
          <w:bCs/>
          <w:kern w:val="0"/>
          <w:sz w:val="24"/>
          <w:szCs w:val="24"/>
          <w:highlight w:val="none"/>
        </w:rPr>
        <w:sectPr>
          <w:footerReference r:id="rId12" w:type="default"/>
          <w:footnotePr>
            <w:numFmt w:val="decimalEnclosedCircleChinese"/>
          </w:footnotePr>
          <w:pgSz w:w="11906" w:h="16838"/>
          <w:pgMar w:top="1440" w:right="1800" w:bottom="1440" w:left="1800" w:header="851" w:footer="567" w:gutter="0"/>
          <w:pgBorders>
            <w:top w:val="none" w:sz="0" w:space="0"/>
            <w:left w:val="none" w:sz="0" w:space="0"/>
            <w:bottom w:val="none" w:sz="0" w:space="0"/>
            <w:right w:val="none" w:sz="0" w:space="0"/>
          </w:pgBorders>
          <w:pgNumType w:start="1"/>
          <w:cols w:space="425" w:num="1"/>
          <w:docGrid w:type="lines" w:linePitch="312" w:charSpace="0"/>
        </w:sectPr>
      </w:pPr>
    </w:p>
    <w:p>
      <w:pPr>
        <w:pStyle w:val="3"/>
        <w:spacing w:before="0" w:after="0" w:line="240" w:lineRule="auto"/>
        <w:ind w:left="431" w:hanging="431"/>
        <w:jc w:val="both"/>
        <w:rPr>
          <w:rFonts w:ascii="Times New Roman" w:hAnsi="Times New Roman" w:eastAsia="黑体" w:cs="Times New Roman"/>
          <w:b w:val="0"/>
          <w:bCs w:val="0"/>
          <w:sz w:val="32"/>
          <w:szCs w:val="32"/>
          <w:highlight w:val="none"/>
        </w:rPr>
      </w:pPr>
      <w:bookmarkStart w:id="0" w:name="_Toc372191176"/>
      <w:bookmarkStart w:id="1" w:name="_Toc57410409"/>
      <w:r>
        <w:rPr>
          <w:rFonts w:ascii="Times New Roman" w:hAnsi="Times New Roman" w:eastAsia="黑体" w:cs="Times New Roman"/>
          <w:b w:val="0"/>
          <w:bCs w:val="0"/>
          <w:sz w:val="32"/>
          <w:szCs w:val="32"/>
          <w:highlight w:val="none"/>
        </w:rPr>
        <w:t>项目简介</w:t>
      </w:r>
      <w:bookmarkEnd w:id="0"/>
      <w:bookmarkEnd w:id="1"/>
    </w:p>
    <w:p>
      <w:pPr>
        <w:pStyle w:val="4"/>
        <w:spacing w:before="0" w:after="0" w:line="240" w:lineRule="auto"/>
        <w:ind w:left="578" w:hanging="578"/>
        <w:jc w:val="both"/>
        <w:rPr>
          <w:rFonts w:ascii="Times New Roman" w:hAnsi="Times New Roman" w:eastAsia="楷体_GB2312" w:cs="Times New Roman"/>
          <w:bCs w:val="0"/>
          <w:highlight w:val="none"/>
        </w:rPr>
      </w:pPr>
      <w:bookmarkStart w:id="2" w:name="_Toc2114072709"/>
      <w:bookmarkStart w:id="3" w:name="_Toc57410410"/>
      <w:r>
        <w:rPr>
          <w:rFonts w:ascii="Times New Roman" w:hAnsi="Times New Roman" w:eastAsia="楷体_GB2312" w:cs="Times New Roman"/>
          <w:bCs w:val="0"/>
          <w:highlight w:val="none"/>
        </w:rPr>
        <w:t>项目介绍</w:t>
      </w:r>
      <w:bookmarkEnd w:id="2"/>
      <w:bookmarkEnd w:id="3"/>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本项目是世界银行“预防、准备与应对新发传染病项目”中农业农村部承担的子项目。该项目建设目的在于：提升实验室检测能力，创新技术产品研发，改进风险沟通和宣传教育，加强人员能力建设，增强防控人兽共患病技术支撑能力。</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项目总投资额600万美元，包含四个子项：提升实验室检测能力；提升防控技术和产品创新研发能力；提升人才队伍建设能力；项目管理及监测评估。</w:t>
      </w:r>
    </w:p>
    <w:p>
      <w:pPr>
        <w:pStyle w:val="4"/>
        <w:spacing w:before="0" w:after="0" w:line="240" w:lineRule="auto"/>
        <w:ind w:left="578" w:hanging="578"/>
        <w:jc w:val="both"/>
        <w:rPr>
          <w:rFonts w:ascii="Times New Roman" w:hAnsi="Times New Roman" w:eastAsia="楷体_GB2312" w:cs="Times New Roman"/>
          <w:bCs w:val="0"/>
          <w:highlight w:val="none"/>
        </w:rPr>
      </w:pPr>
      <w:bookmarkStart w:id="4" w:name="_Toc63551545"/>
      <w:bookmarkStart w:id="5" w:name="_Toc57410411"/>
      <w:r>
        <w:rPr>
          <w:rFonts w:ascii="Times New Roman" w:hAnsi="Times New Roman" w:eastAsia="楷体_GB2312" w:cs="Times New Roman"/>
          <w:bCs w:val="0"/>
          <w:highlight w:val="none"/>
        </w:rPr>
        <w:t>利益相关方参与计划的目标</w:t>
      </w:r>
      <w:bookmarkEnd w:id="4"/>
      <w:bookmarkEnd w:id="5"/>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根据世行环境和社会政策框架（ESF）的环境社会标准10利益相关方参与和信息公开（ESS10）的要求，利益相关方参与是贯穿项目周期的一个</w:t>
      </w:r>
      <w:r>
        <w:rPr>
          <w:rFonts w:hint="eastAsia" w:ascii="Times New Roman" w:hAnsi="Times New Roman" w:eastAsia="仿宋_GB2312"/>
          <w:kern w:val="0"/>
          <w:sz w:val="32"/>
          <w:szCs w:val="32"/>
          <w:highlight w:val="none"/>
        </w:rPr>
        <w:t>动态管理</w:t>
      </w:r>
      <w:r>
        <w:rPr>
          <w:rFonts w:ascii="Times New Roman" w:hAnsi="Times New Roman" w:eastAsia="仿宋_GB2312"/>
          <w:kern w:val="0"/>
          <w:sz w:val="32"/>
          <w:szCs w:val="32"/>
          <w:highlight w:val="none"/>
        </w:rPr>
        <w:t>过程。该过程的正确设计和实施，对成功管理项目的环境和社会风险至关重要。</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利益相关者参与的主要目标包括（但不限于）：</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建立系统的利益相关者参与方法，以帮助项目办识别利益相关者，并与他们建立并保持建设性关系，特别是受项目影响的各方；</w:t>
      </w:r>
    </w:p>
    <w:p>
      <w:pPr>
        <w:pStyle w:val="48"/>
        <w:numPr>
          <w:ilvl w:val="0"/>
          <w:numId w:val="2"/>
        </w:numPr>
        <w:spacing w:after="0" w:line="240" w:lineRule="auto"/>
        <w:ind w:firstLineChars="0"/>
        <w:rPr>
          <w:rFonts w:ascii="Times New Roman" w:hAnsi="Times New Roman" w:eastAsia="仿宋_GB2312"/>
          <w:sz w:val="32"/>
          <w:szCs w:val="32"/>
          <w:highlight w:val="none"/>
        </w:rPr>
      </w:pPr>
      <w:r>
        <w:rPr>
          <w:rFonts w:ascii="Times New Roman" w:hAnsi="Times New Roman" w:eastAsia="仿宋_GB2312"/>
          <w:sz w:val="32"/>
          <w:szCs w:val="32"/>
          <w:highlight w:val="none"/>
        </w:rPr>
        <w:t>向利益相关者通报项目的情况，包括项目的目的、性质、规模和项目活动持续的时间，和任何潜在的与项目相关的影响和缓解计划；</w:t>
      </w:r>
    </w:p>
    <w:p>
      <w:pPr>
        <w:pStyle w:val="48"/>
        <w:numPr>
          <w:ilvl w:val="0"/>
          <w:numId w:val="2"/>
        </w:numPr>
        <w:spacing w:after="0" w:line="240" w:lineRule="auto"/>
        <w:ind w:firstLineChars="0"/>
        <w:rPr>
          <w:rFonts w:ascii="Times New Roman" w:hAnsi="Times New Roman" w:eastAsia="仿宋_GB2312"/>
          <w:sz w:val="32"/>
          <w:szCs w:val="32"/>
          <w:highlight w:val="none"/>
        </w:rPr>
      </w:pPr>
      <w:r>
        <w:rPr>
          <w:rFonts w:ascii="Times New Roman" w:hAnsi="Times New Roman" w:eastAsia="仿宋_GB2312"/>
          <w:sz w:val="32"/>
          <w:szCs w:val="32"/>
          <w:highlight w:val="none"/>
        </w:rPr>
        <w:t>识别利益相关者关注的问题、需求、抱怨及申诉，在项目设计中及环境和社会管理中考虑利益相关方的意见；</w:t>
      </w:r>
    </w:p>
    <w:p>
      <w:pPr>
        <w:pStyle w:val="48"/>
        <w:numPr>
          <w:ilvl w:val="0"/>
          <w:numId w:val="2"/>
        </w:numPr>
        <w:spacing w:after="0" w:line="240" w:lineRule="auto"/>
        <w:ind w:firstLineChars="0"/>
        <w:rPr>
          <w:rFonts w:ascii="Times New Roman" w:hAnsi="Times New Roman" w:eastAsia="仿宋_GB2312"/>
          <w:sz w:val="32"/>
          <w:szCs w:val="32"/>
          <w:highlight w:val="none"/>
        </w:rPr>
      </w:pPr>
      <w:r>
        <w:rPr>
          <w:rFonts w:ascii="Times New Roman" w:hAnsi="Times New Roman" w:eastAsia="仿宋_GB2312"/>
          <w:sz w:val="32"/>
          <w:szCs w:val="32"/>
          <w:highlight w:val="none"/>
        </w:rPr>
        <w:t>获取利益相关者对项目影响（尤其是环境和社会方面的影响）和缓解措施的反馈；</w:t>
      </w:r>
    </w:p>
    <w:p>
      <w:pPr>
        <w:pStyle w:val="48"/>
        <w:numPr>
          <w:ilvl w:val="0"/>
          <w:numId w:val="2"/>
        </w:numPr>
        <w:spacing w:after="0" w:line="240" w:lineRule="auto"/>
        <w:ind w:firstLineChars="0"/>
        <w:rPr>
          <w:rFonts w:ascii="Times New Roman" w:hAnsi="Times New Roman" w:eastAsia="仿宋_GB2312"/>
          <w:sz w:val="32"/>
          <w:szCs w:val="32"/>
          <w:highlight w:val="none"/>
        </w:rPr>
      </w:pPr>
      <w:r>
        <w:rPr>
          <w:rFonts w:ascii="Times New Roman" w:hAnsi="Times New Roman" w:eastAsia="仿宋_GB2312"/>
          <w:sz w:val="32"/>
          <w:szCs w:val="32"/>
          <w:highlight w:val="none"/>
        </w:rPr>
        <w:t>向社区反馈抱怨申诉的处理情况；</w:t>
      </w:r>
    </w:p>
    <w:p>
      <w:pPr>
        <w:pStyle w:val="48"/>
        <w:numPr>
          <w:ilvl w:val="0"/>
          <w:numId w:val="2"/>
        </w:numPr>
        <w:spacing w:after="0" w:line="240" w:lineRule="auto"/>
        <w:ind w:firstLineChars="0"/>
        <w:rPr>
          <w:rFonts w:ascii="Times New Roman" w:hAnsi="Times New Roman" w:eastAsia="仿宋_GB2312"/>
          <w:sz w:val="32"/>
          <w:szCs w:val="32"/>
          <w:highlight w:val="none"/>
        </w:rPr>
      </w:pPr>
      <w:r>
        <w:rPr>
          <w:rFonts w:ascii="Times New Roman" w:hAnsi="Times New Roman" w:eastAsia="仿宋_GB2312"/>
          <w:sz w:val="32"/>
          <w:szCs w:val="32"/>
          <w:highlight w:val="none"/>
        </w:rPr>
        <w:t>在项目决策和实施过程中，充分考虑利益相关者的意愿，避免和解决潜在的冲突。</w:t>
      </w:r>
    </w:p>
    <w:p>
      <w:pPr>
        <w:pStyle w:val="3"/>
        <w:spacing w:before="0" w:after="0" w:line="240" w:lineRule="auto"/>
        <w:ind w:left="431" w:hanging="431"/>
        <w:jc w:val="both"/>
        <w:rPr>
          <w:rFonts w:ascii="Times New Roman" w:hAnsi="Times New Roman" w:eastAsia="黑体" w:cs="Times New Roman"/>
          <w:b w:val="0"/>
          <w:bCs w:val="0"/>
          <w:sz w:val="32"/>
          <w:szCs w:val="32"/>
          <w:highlight w:val="none"/>
        </w:rPr>
      </w:pPr>
      <w:bookmarkStart w:id="6" w:name="_Toc57410416"/>
      <w:bookmarkStart w:id="7" w:name="_Toc267975642"/>
      <w:r>
        <w:rPr>
          <w:rFonts w:ascii="Times New Roman" w:hAnsi="Times New Roman" w:eastAsia="黑体" w:cs="Times New Roman"/>
          <w:b w:val="0"/>
          <w:bCs w:val="0"/>
          <w:sz w:val="32"/>
          <w:szCs w:val="32"/>
          <w:highlight w:val="none"/>
        </w:rPr>
        <w:t>利益相关方的确定与分析</w:t>
      </w:r>
      <w:bookmarkEnd w:id="6"/>
      <w:bookmarkEnd w:id="7"/>
    </w:p>
    <w:p>
      <w:pPr>
        <w:widowControl/>
        <w:spacing w:after="0" w:line="240" w:lineRule="auto"/>
        <w:ind w:firstLine="640" w:firstLineChars="200"/>
        <w:rPr>
          <w:rFonts w:ascii="Times New Roman" w:hAnsi="Times New Roman" w:eastAsia="仿宋_GB2312"/>
          <w:kern w:val="0"/>
          <w:sz w:val="32"/>
          <w:szCs w:val="32"/>
          <w:highlight w:val="none"/>
        </w:rPr>
      </w:pPr>
      <w:bookmarkStart w:id="8" w:name="_Hlk55920060"/>
      <w:r>
        <w:rPr>
          <w:rFonts w:ascii="Times New Roman" w:hAnsi="Times New Roman" w:eastAsia="仿宋_GB2312"/>
          <w:kern w:val="0"/>
          <w:sz w:val="32"/>
          <w:szCs w:val="32"/>
          <w:highlight w:val="none"/>
        </w:rPr>
        <w:t>根据世行环境社会标准10（ESS10）及项目的特点，本项目利益相关方包括：1）受影响方，2）其他利益相关方，以及3）弱势群体</w:t>
      </w:r>
      <w:r>
        <w:rPr>
          <w:rFonts w:ascii="Times New Roman" w:hAnsi="Times New Roman" w:eastAsia="仿宋_GB2312"/>
          <w:kern w:val="0"/>
          <w:sz w:val="32"/>
          <w:szCs w:val="32"/>
          <w:highlight w:val="none"/>
          <w:vertAlign w:val="superscript"/>
        </w:rPr>
        <w:footnoteReference w:id="0"/>
      </w:r>
      <w:r>
        <w:rPr>
          <w:rFonts w:ascii="Times New Roman" w:hAnsi="Times New Roman" w:eastAsia="仿宋_GB2312"/>
          <w:kern w:val="0"/>
          <w:sz w:val="32"/>
          <w:szCs w:val="32"/>
          <w:highlight w:val="none"/>
        </w:rPr>
        <w:t>。</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（1）受影响各方：受项目影响或可能受项目影响的个人或群体。这包括直接受影响人或间接影响人。</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（2）其他利益相关方：可能与项目有利益关系的个人或群体。</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利益相关方概述如下：</w:t>
      </w:r>
    </w:p>
    <w:bookmarkEnd w:id="8"/>
    <w:p>
      <w:pPr>
        <w:pStyle w:val="4"/>
        <w:spacing w:before="0" w:after="0" w:line="240" w:lineRule="auto"/>
        <w:ind w:left="578" w:hanging="578"/>
        <w:jc w:val="both"/>
        <w:rPr>
          <w:rFonts w:ascii="Times New Roman" w:hAnsi="Times New Roman" w:eastAsia="楷体_GB2312" w:cs="Times New Roman"/>
          <w:bCs w:val="0"/>
          <w:highlight w:val="none"/>
        </w:rPr>
      </w:pPr>
      <w:bookmarkStart w:id="9" w:name="_Toc974411328"/>
      <w:bookmarkStart w:id="10" w:name="_Toc57410417"/>
      <w:r>
        <w:rPr>
          <w:rFonts w:ascii="Times New Roman" w:hAnsi="Times New Roman" w:eastAsia="楷体_GB2312" w:cs="Times New Roman"/>
          <w:bCs w:val="0"/>
          <w:highlight w:val="none"/>
        </w:rPr>
        <w:t>受项目影响各方</w:t>
      </w:r>
      <w:bookmarkEnd w:id="9"/>
      <w:bookmarkEnd w:id="10"/>
    </w:p>
    <w:p>
      <w:pPr>
        <w:widowControl/>
        <w:spacing w:after="0" w:line="240" w:lineRule="auto"/>
        <w:ind w:firstLine="643" w:firstLineChars="200"/>
        <w:rPr>
          <w:rFonts w:ascii="Times New Roman" w:hAnsi="Times New Roman" w:eastAsia="仿宋_GB2312"/>
          <w:kern w:val="0"/>
          <w:sz w:val="32"/>
          <w:szCs w:val="32"/>
          <w:highlight w:val="none"/>
        </w:rPr>
      </w:pPr>
      <w:r>
        <w:rPr>
          <w:rFonts w:ascii="Times New Roman" w:hAnsi="Times New Roman" w:eastAsia="仿宋_GB2312"/>
          <w:b/>
          <w:bCs/>
          <w:sz w:val="32"/>
          <w:szCs w:val="32"/>
          <w:highlight w:val="none"/>
          <w:u w:val="single"/>
        </w:rPr>
        <w:t>受项目影响各方</w:t>
      </w:r>
      <w:r>
        <w:rPr>
          <w:rFonts w:ascii="Times New Roman" w:hAnsi="Times New Roman" w:eastAsia="仿宋_GB2312"/>
          <w:sz w:val="32"/>
          <w:szCs w:val="32"/>
          <w:highlight w:val="none"/>
        </w:rPr>
        <w:t>包括</w:t>
      </w:r>
      <w:bookmarkStart w:id="11" w:name="_Hlk65377130"/>
      <w:r>
        <w:rPr>
          <w:rFonts w:hint="eastAsia" w:ascii="Times New Roman" w:hAnsi="Times New Roman" w:eastAsia="仿宋_GB2312"/>
          <w:sz w:val="32"/>
          <w:szCs w:val="32"/>
          <w:highlight w:val="none"/>
          <w:lang w:eastAsia="zh-CN"/>
        </w:rPr>
        <w:t>与实验室检验、现场调研、人员培训相关的</w:t>
      </w:r>
      <w:r>
        <w:rPr>
          <w:rFonts w:ascii="Times New Roman" w:hAnsi="Times New Roman" w:eastAsia="仿宋_GB2312"/>
          <w:kern w:val="0"/>
          <w:sz w:val="32"/>
          <w:szCs w:val="32"/>
          <w:highlight w:val="none"/>
        </w:rPr>
        <w:t>畜禽养殖户</w:t>
      </w:r>
      <w:r>
        <w:rPr>
          <w:rFonts w:hint="eastAsia" w:ascii="Times New Roman" w:hAnsi="Times New Roman" w:eastAsia="仿宋_GB2312"/>
          <w:kern w:val="0"/>
          <w:sz w:val="32"/>
          <w:szCs w:val="32"/>
          <w:highlight w:val="none"/>
          <w:lang w:eastAsia="zh-CN"/>
        </w:rPr>
        <w:t>；</w:t>
      </w:r>
      <w:r>
        <w:rPr>
          <w:rFonts w:ascii="Times New Roman" w:hAnsi="Times New Roman" w:eastAsia="仿宋_GB2312"/>
          <w:kern w:val="0"/>
          <w:sz w:val="32"/>
          <w:szCs w:val="32"/>
          <w:highlight w:val="none"/>
        </w:rPr>
        <w:t>动物疫病防控人员</w:t>
      </w:r>
      <w:r>
        <w:rPr>
          <w:rFonts w:hint="eastAsia" w:ascii="Times New Roman" w:hAnsi="Times New Roman" w:eastAsia="仿宋_GB2312"/>
          <w:kern w:val="0"/>
          <w:sz w:val="32"/>
          <w:szCs w:val="32"/>
          <w:highlight w:val="none"/>
          <w:lang w:eastAsia="zh-CN"/>
        </w:rPr>
        <w:t>；</w:t>
      </w:r>
      <w:r>
        <w:rPr>
          <w:rFonts w:ascii="Times New Roman" w:hAnsi="Times New Roman" w:eastAsia="仿宋_GB2312"/>
          <w:kern w:val="0"/>
          <w:sz w:val="32"/>
          <w:szCs w:val="32"/>
          <w:highlight w:val="none"/>
        </w:rPr>
        <w:t>相关领域实验室科研人员</w:t>
      </w:r>
      <w:r>
        <w:rPr>
          <w:rFonts w:hint="eastAsia" w:ascii="Times New Roman" w:hAnsi="Times New Roman" w:eastAsia="仿宋_GB2312"/>
          <w:kern w:val="0"/>
          <w:sz w:val="32"/>
          <w:szCs w:val="32"/>
          <w:highlight w:val="none"/>
          <w:lang w:eastAsia="zh-CN"/>
        </w:rPr>
        <w:t>；项目所在地点的</w:t>
      </w:r>
      <w:r>
        <w:rPr>
          <w:rFonts w:ascii="Times New Roman" w:hAnsi="Times New Roman" w:eastAsia="仿宋_GB2312"/>
          <w:kern w:val="0"/>
          <w:sz w:val="32"/>
          <w:szCs w:val="32"/>
          <w:highlight w:val="none"/>
        </w:rPr>
        <w:t>社区居民等。</w:t>
      </w:r>
      <w:bookmarkEnd w:id="11"/>
    </w:p>
    <w:p>
      <w:pPr>
        <w:pStyle w:val="24"/>
        <w:adjustRightInd w:val="0"/>
        <w:snapToGrid w:val="0"/>
        <w:spacing w:after="0" w:line="360" w:lineRule="auto"/>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受项目影响各方的具体识别与分析详见表2-1。</w:t>
      </w:r>
    </w:p>
    <w:p>
      <w:pPr>
        <w:pStyle w:val="12"/>
        <w:adjustRightInd w:val="0"/>
        <w:snapToGrid w:val="0"/>
        <w:spacing w:after="0" w:line="360" w:lineRule="auto"/>
        <w:jc w:val="center"/>
        <w:rPr>
          <w:rFonts w:ascii="Times New Roman" w:hAnsi="Times New Roman" w:cs="Times New Roman"/>
          <w:kern w:val="0"/>
          <w:sz w:val="28"/>
          <w:szCs w:val="28"/>
          <w:highlight w:val="none"/>
        </w:rPr>
      </w:pPr>
      <w:bookmarkStart w:id="12" w:name="_Toc65281019"/>
      <w:r>
        <w:rPr>
          <w:rFonts w:ascii="Times New Roman" w:hAnsi="Times New Roman" w:cs="Times New Roman"/>
          <w:kern w:val="0"/>
          <w:sz w:val="28"/>
          <w:szCs w:val="28"/>
          <w:highlight w:val="none"/>
        </w:rPr>
        <w:t>表2-</w:t>
      </w:r>
      <w:r>
        <w:rPr>
          <w:rFonts w:ascii="Times New Roman" w:hAnsi="Times New Roman" w:cs="Times New Roman"/>
          <w:kern w:val="0"/>
          <w:sz w:val="28"/>
          <w:szCs w:val="28"/>
          <w:highlight w:val="none"/>
        </w:rPr>
        <w:fldChar w:fldCharType="begin"/>
      </w:r>
      <w:r>
        <w:rPr>
          <w:rFonts w:ascii="Times New Roman" w:hAnsi="Times New Roman" w:cs="Times New Roman"/>
          <w:kern w:val="0"/>
          <w:sz w:val="28"/>
          <w:szCs w:val="28"/>
          <w:highlight w:val="none"/>
        </w:rPr>
        <w:instrText xml:space="preserve"> SEQ 表3- \* ARABIC </w:instrText>
      </w:r>
      <w:r>
        <w:rPr>
          <w:rFonts w:ascii="Times New Roman" w:hAnsi="Times New Roman" w:cs="Times New Roman"/>
          <w:kern w:val="0"/>
          <w:sz w:val="28"/>
          <w:szCs w:val="28"/>
          <w:highlight w:val="none"/>
        </w:rPr>
        <w:fldChar w:fldCharType="separate"/>
      </w:r>
      <w:r>
        <w:rPr>
          <w:rFonts w:ascii="Times New Roman" w:hAnsi="Times New Roman" w:cs="Times New Roman"/>
          <w:kern w:val="0"/>
          <w:sz w:val="28"/>
          <w:szCs w:val="28"/>
          <w:highlight w:val="none"/>
        </w:rPr>
        <w:t>1</w:t>
      </w:r>
      <w:r>
        <w:rPr>
          <w:rFonts w:ascii="Times New Roman" w:hAnsi="Times New Roman" w:cs="Times New Roman"/>
          <w:kern w:val="0"/>
          <w:sz w:val="28"/>
          <w:szCs w:val="28"/>
          <w:highlight w:val="none"/>
        </w:rPr>
        <w:fldChar w:fldCharType="end"/>
      </w:r>
      <w:r>
        <w:rPr>
          <w:rFonts w:ascii="Times New Roman" w:hAnsi="Times New Roman" w:cs="Times New Roman"/>
          <w:kern w:val="0"/>
          <w:sz w:val="28"/>
          <w:szCs w:val="28"/>
          <w:highlight w:val="none"/>
        </w:rPr>
        <w:t xml:space="preserve"> 受项目影响各方识别与分析</w:t>
      </w:r>
      <w:bookmarkEnd w:id="12"/>
    </w:p>
    <w:tbl>
      <w:tblPr>
        <w:tblStyle w:val="26"/>
        <w:tblW w:w="496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893"/>
        <w:gridCol w:w="51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856" w:type="pct"/>
            <w:shd w:val="clear" w:color="auto" w:fill="auto"/>
          </w:tcPr>
          <w:p>
            <w:pPr>
              <w:snapToGrid w:val="0"/>
              <w:spacing w:after="0" w:line="300" w:lineRule="exact"/>
              <w:jc w:val="center"/>
              <w:rPr>
                <w:rFonts w:ascii="Times New Roman" w:hAnsi="Times New Roman" w:eastAsia="黑体"/>
                <w:bCs/>
                <w:sz w:val="24"/>
                <w:szCs w:val="24"/>
                <w:highlight w:val="none"/>
              </w:rPr>
            </w:pPr>
            <w:bookmarkStart w:id="13" w:name="_Hlk70583052"/>
          </w:p>
        </w:tc>
        <w:tc>
          <w:tcPr>
            <w:tcW w:w="1119" w:type="pct"/>
            <w:shd w:val="clear" w:color="auto" w:fill="auto"/>
            <w:vAlign w:val="center"/>
          </w:tcPr>
          <w:p>
            <w:pPr>
              <w:snapToGrid w:val="0"/>
              <w:spacing w:after="0" w:line="300" w:lineRule="exact"/>
              <w:jc w:val="center"/>
              <w:rPr>
                <w:rFonts w:ascii="Times New Roman" w:hAnsi="Times New Roman" w:eastAsia="黑体"/>
                <w:bCs/>
                <w:kern w:val="0"/>
                <w:sz w:val="24"/>
                <w:szCs w:val="24"/>
                <w:highlight w:val="none"/>
              </w:rPr>
            </w:pPr>
            <w:r>
              <w:rPr>
                <w:rFonts w:ascii="Times New Roman" w:hAnsi="Times New Roman" w:eastAsia="黑体"/>
                <w:bCs/>
                <w:kern w:val="0"/>
                <w:sz w:val="24"/>
                <w:szCs w:val="24"/>
                <w:highlight w:val="none"/>
              </w:rPr>
              <w:t>利益相关者</w:t>
            </w:r>
          </w:p>
        </w:tc>
        <w:tc>
          <w:tcPr>
            <w:tcW w:w="3024" w:type="pct"/>
            <w:shd w:val="clear" w:color="auto" w:fill="auto"/>
            <w:vAlign w:val="center"/>
          </w:tcPr>
          <w:p>
            <w:pPr>
              <w:snapToGrid w:val="0"/>
              <w:spacing w:after="0" w:line="300" w:lineRule="exact"/>
              <w:jc w:val="center"/>
              <w:rPr>
                <w:rFonts w:ascii="Times New Roman" w:hAnsi="Times New Roman" w:eastAsia="黑体"/>
                <w:bCs/>
                <w:sz w:val="24"/>
                <w:szCs w:val="24"/>
                <w:highlight w:val="none"/>
              </w:rPr>
            </w:pPr>
            <w:r>
              <w:rPr>
                <w:rFonts w:ascii="Times New Roman" w:hAnsi="Times New Roman" w:eastAsia="黑体"/>
                <w:bCs/>
                <w:kern w:val="0"/>
                <w:sz w:val="24"/>
                <w:szCs w:val="24"/>
                <w:highlight w:val="none"/>
              </w:rPr>
              <w:t>受项目的影响/对项目的影响力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856" w:type="pct"/>
            <w:vMerge w:val="restart"/>
            <w:shd w:val="clear" w:color="auto" w:fill="auto"/>
            <w:vAlign w:val="center"/>
          </w:tcPr>
          <w:p>
            <w:pPr>
              <w:snapToGrid w:val="0"/>
              <w:spacing w:after="0" w:line="300" w:lineRule="exact"/>
              <w:jc w:val="center"/>
              <w:rPr>
                <w:rFonts w:ascii="Times New Roman" w:hAnsi="Times New Roman" w:eastAsia="仿宋_GB2312"/>
                <w:sz w:val="24"/>
                <w:szCs w:val="24"/>
                <w:highlight w:val="none"/>
              </w:rPr>
            </w:pPr>
            <w:bookmarkStart w:id="14" w:name="_Hlk65282389"/>
            <w:r>
              <w:rPr>
                <w:rFonts w:ascii="Times New Roman" w:hAnsi="Times New Roman" w:eastAsia="仿宋_GB2312"/>
                <w:sz w:val="24"/>
                <w:szCs w:val="24"/>
                <w:highlight w:val="none"/>
              </w:rPr>
              <w:t>受影响各方</w:t>
            </w:r>
          </w:p>
        </w:tc>
        <w:tc>
          <w:tcPr>
            <w:tcW w:w="1119" w:type="pct"/>
            <w:shd w:val="clear" w:color="auto" w:fill="auto"/>
            <w:vAlign w:val="center"/>
          </w:tcPr>
          <w:p>
            <w:pPr>
              <w:snapToGrid w:val="0"/>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畜禽养殖户</w:t>
            </w:r>
          </w:p>
        </w:tc>
        <w:tc>
          <w:tcPr>
            <w:tcW w:w="3024" w:type="pct"/>
            <w:shd w:val="clear" w:color="auto" w:fill="auto"/>
            <w:vAlign w:val="center"/>
          </w:tcPr>
          <w:p>
            <w:pPr>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 xml:space="preserve">提高对养殖产业的全程监管，减少病毒感染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856" w:type="pct"/>
            <w:vMerge w:val="continue"/>
            <w:shd w:val="clear" w:color="auto" w:fill="auto"/>
          </w:tcPr>
          <w:p>
            <w:pPr>
              <w:snapToGrid w:val="0"/>
              <w:spacing w:after="0" w:line="300" w:lineRule="exact"/>
              <w:jc w:val="left"/>
              <w:rPr>
                <w:rFonts w:ascii="Times New Roman" w:hAnsi="Times New Roman" w:eastAsia="仿宋_GB2312"/>
                <w:sz w:val="24"/>
                <w:szCs w:val="24"/>
                <w:highlight w:val="none"/>
              </w:rPr>
            </w:pPr>
          </w:p>
        </w:tc>
        <w:tc>
          <w:tcPr>
            <w:tcW w:w="1119" w:type="pct"/>
            <w:shd w:val="clear" w:color="auto" w:fill="auto"/>
            <w:vAlign w:val="center"/>
          </w:tcPr>
          <w:p>
            <w:pPr>
              <w:snapToGrid w:val="0"/>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动物疫病防控人员</w:t>
            </w:r>
          </w:p>
        </w:tc>
        <w:tc>
          <w:tcPr>
            <w:tcW w:w="3024" w:type="pct"/>
            <w:shd w:val="clear" w:color="auto" w:fill="auto"/>
            <w:vAlign w:val="center"/>
          </w:tcPr>
          <w:p>
            <w:pPr>
              <w:snapToGrid w:val="0"/>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改变既往的工作方式；加强检验检疫工作，提高工作人员专业素质，完善管理制度，检疫设备水平提高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0" w:hRule="atLeast"/>
          <w:tblHeader/>
        </w:trPr>
        <w:tc>
          <w:tcPr>
            <w:tcW w:w="856" w:type="pct"/>
            <w:vMerge w:val="continue"/>
            <w:shd w:val="clear" w:color="auto" w:fill="auto"/>
          </w:tcPr>
          <w:p>
            <w:pPr>
              <w:snapToGrid w:val="0"/>
              <w:spacing w:after="0" w:line="300" w:lineRule="exact"/>
              <w:jc w:val="left"/>
              <w:rPr>
                <w:rFonts w:ascii="Times New Roman" w:hAnsi="Times New Roman" w:eastAsia="仿宋_GB2312"/>
                <w:sz w:val="24"/>
                <w:szCs w:val="24"/>
                <w:highlight w:val="none"/>
              </w:rPr>
            </w:pPr>
          </w:p>
        </w:tc>
        <w:tc>
          <w:tcPr>
            <w:tcW w:w="1119" w:type="pct"/>
            <w:shd w:val="clear" w:color="auto" w:fill="auto"/>
            <w:vAlign w:val="center"/>
          </w:tcPr>
          <w:p>
            <w:pPr>
              <w:snapToGrid w:val="0"/>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相关领域实验室中的科研人员</w:t>
            </w:r>
          </w:p>
        </w:tc>
        <w:tc>
          <w:tcPr>
            <w:tcW w:w="3024" w:type="pct"/>
            <w:shd w:val="clear" w:color="auto" w:fill="auto"/>
            <w:vAlign w:val="center"/>
          </w:tcPr>
          <w:p>
            <w:pPr>
              <w:snapToGrid w:val="0"/>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设施设备提档升级；工作环境改善；获得丰富的科研资源和专业培训；推广项目的试点成果</w:t>
            </w:r>
          </w:p>
        </w:tc>
      </w:tr>
      <w:bookmarkEnd w:id="14"/>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856" w:type="pct"/>
            <w:vMerge w:val="continue"/>
            <w:shd w:val="clear" w:color="auto" w:fill="auto"/>
          </w:tcPr>
          <w:p>
            <w:pPr>
              <w:snapToGrid w:val="0"/>
              <w:spacing w:after="0" w:line="300" w:lineRule="exact"/>
              <w:jc w:val="left"/>
              <w:rPr>
                <w:rFonts w:ascii="Times New Roman" w:hAnsi="Times New Roman" w:eastAsia="仿宋_GB2312"/>
                <w:sz w:val="24"/>
                <w:szCs w:val="24"/>
                <w:highlight w:val="none"/>
              </w:rPr>
            </w:pPr>
          </w:p>
        </w:tc>
        <w:tc>
          <w:tcPr>
            <w:tcW w:w="1119" w:type="pct"/>
            <w:shd w:val="clear" w:color="auto" w:fill="auto"/>
            <w:vAlign w:val="center"/>
          </w:tcPr>
          <w:p>
            <w:pPr>
              <w:snapToGrid w:val="0"/>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社区居民</w:t>
            </w:r>
          </w:p>
        </w:tc>
        <w:tc>
          <w:tcPr>
            <w:tcW w:w="3024" w:type="pct"/>
            <w:shd w:val="clear" w:color="auto" w:fill="auto"/>
            <w:vAlign w:val="center"/>
          </w:tcPr>
          <w:p>
            <w:pPr>
              <w:snapToGrid w:val="0"/>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规范化豢养宠物，加强宠物健康管理</w:t>
            </w:r>
          </w:p>
        </w:tc>
      </w:tr>
      <w:bookmarkEnd w:id="13"/>
    </w:tbl>
    <w:p>
      <w:pPr>
        <w:spacing w:before="93" w:beforeLines="30" w:after="0" w:line="240" w:lineRule="auto"/>
        <w:rPr>
          <w:rFonts w:ascii="Times New Roman" w:hAnsi="Times New Roman" w:eastAsia="宋体"/>
          <w:kern w:val="0"/>
          <w:sz w:val="24"/>
          <w:szCs w:val="24"/>
          <w:highlight w:val="none"/>
        </w:rPr>
      </w:pPr>
      <w:r>
        <w:rPr>
          <w:rFonts w:ascii="Times New Roman" w:hAnsi="Times New Roman" w:eastAsia="黑体"/>
          <w:kern w:val="0"/>
          <w:sz w:val="24"/>
          <w:szCs w:val="24"/>
          <w:highlight w:val="none"/>
        </w:rPr>
        <w:t>来源：</w:t>
      </w:r>
      <w:r>
        <w:rPr>
          <w:rFonts w:ascii="Times New Roman" w:hAnsi="Times New Roman" w:eastAsia="仿宋_GB2312"/>
          <w:kern w:val="0"/>
          <w:sz w:val="24"/>
          <w:szCs w:val="24"/>
          <w:highlight w:val="none"/>
        </w:rPr>
        <w:t>项目环境和社会影响调查，相关部门访谈和咨询</w:t>
      </w:r>
    </w:p>
    <w:p>
      <w:pPr>
        <w:widowControl/>
        <w:adjustRightInd w:val="0"/>
        <w:snapToGrid w:val="0"/>
        <w:spacing w:before="312" w:beforeLines="100"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（1）畜禽养殖户：对养殖产业疫病防控及卫生风险控制，养殖人员受人兽共患病病毒感染风险等。</w:t>
      </w:r>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（2）动物疫病防控人员：项目设备、管理制度的培训，以及防控人员检测技术等专业技能水平有望得到加强等。</w:t>
      </w:r>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（3）相关领域实验室中的科研人员：项目中设施设备的升级需配套相关操作人员技术培训，保障实验室健康无污染的工作环境，专业领域科研项目得到支持等。</w:t>
      </w:r>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（4）社区居民：项目所在区域环境卫生得到保障，宠物健康与家庭卫生不受影响等。</w:t>
      </w:r>
    </w:p>
    <w:p>
      <w:pPr>
        <w:pStyle w:val="4"/>
        <w:adjustRightInd w:val="0"/>
        <w:snapToGrid w:val="0"/>
        <w:spacing w:before="0" w:after="0" w:line="360" w:lineRule="auto"/>
        <w:ind w:left="0" w:firstLine="0"/>
        <w:rPr>
          <w:rFonts w:ascii="Times New Roman" w:hAnsi="Times New Roman" w:eastAsia="楷体_GB2312" w:cs="Times New Roman"/>
          <w:bCs w:val="0"/>
          <w:highlight w:val="none"/>
        </w:rPr>
      </w:pPr>
      <w:bookmarkStart w:id="15" w:name="_Hlk55925210"/>
      <w:bookmarkStart w:id="16" w:name="_Toc57410419"/>
      <w:bookmarkStart w:id="17" w:name="_Hlk55924949"/>
      <w:bookmarkStart w:id="18" w:name="_Toc1756055480"/>
      <w:r>
        <w:rPr>
          <w:rFonts w:ascii="Times New Roman" w:hAnsi="Times New Roman" w:eastAsia="楷体_GB2312" w:cs="Times New Roman"/>
          <w:bCs w:val="0"/>
          <w:highlight w:val="none"/>
        </w:rPr>
        <w:t xml:space="preserve"> 弱势/脆弱个人或群体</w:t>
      </w:r>
      <w:bookmarkEnd w:id="15"/>
      <w:bookmarkEnd w:id="16"/>
      <w:bookmarkEnd w:id="17"/>
      <w:bookmarkEnd w:id="18"/>
    </w:p>
    <w:p>
      <w:pPr>
        <w:pStyle w:val="24"/>
        <w:adjustRightInd w:val="0"/>
        <w:snapToGrid w:val="0"/>
        <w:spacing w:after="0" w:line="360" w:lineRule="auto"/>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该项目的弱势群体包括老人、妇女、留守儿童、传染病患者、少数民族。</w:t>
      </w:r>
    </w:p>
    <w:p>
      <w:pPr>
        <w:pStyle w:val="24"/>
        <w:adjustRightInd w:val="0"/>
        <w:snapToGrid w:val="0"/>
        <w:spacing w:after="0" w:line="360" w:lineRule="auto"/>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弱势群体的的具体识别与分析详见表2-2。</w:t>
      </w:r>
    </w:p>
    <w:p>
      <w:pPr>
        <w:pStyle w:val="12"/>
        <w:spacing w:after="31" w:afterLines="10" w:line="240" w:lineRule="auto"/>
        <w:jc w:val="center"/>
        <w:rPr>
          <w:rFonts w:ascii="Times New Roman" w:hAnsi="Times New Roman" w:cs="Times New Roman"/>
          <w:kern w:val="0"/>
          <w:sz w:val="28"/>
          <w:szCs w:val="28"/>
          <w:highlight w:val="none"/>
        </w:rPr>
      </w:pPr>
      <w:bookmarkStart w:id="19" w:name="_Toc65281021"/>
      <w:r>
        <w:rPr>
          <w:rFonts w:ascii="Times New Roman" w:hAnsi="Times New Roman" w:cs="Times New Roman"/>
          <w:kern w:val="0"/>
          <w:sz w:val="28"/>
          <w:szCs w:val="28"/>
          <w:highlight w:val="none"/>
        </w:rPr>
        <w:t>表2-2</w:t>
      </w:r>
      <w:bookmarkStart w:id="20" w:name="_Toc57058165"/>
      <w:r>
        <w:rPr>
          <w:rFonts w:ascii="Times New Roman" w:hAnsi="Times New Roman" w:cs="Times New Roman"/>
          <w:kern w:val="0"/>
          <w:sz w:val="28"/>
          <w:szCs w:val="28"/>
          <w:highlight w:val="none"/>
        </w:rPr>
        <w:t xml:space="preserve"> 弱势群体的识别与分析</w:t>
      </w:r>
      <w:bookmarkEnd w:id="19"/>
      <w:bookmarkEnd w:id="20"/>
    </w:p>
    <w:tbl>
      <w:tblPr>
        <w:tblStyle w:val="26"/>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241"/>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jc w:val="center"/>
        </w:trPr>
        <w:tc>
          <w:tcPr>
            <w:tcW w:w="552" w:type="pct"/>
            <w:tcBorders>
              <w:top w:val="single" w:color="auto" w:sz="12" w:space="0"/>
              <w:left w:val="nil"/>
            </w:tcBorders>
            <w:shd w:val="clear" w:color="auto" w:fill="auto"/>
            <w:vAlign w:val="center"/>
          </w:tcPr>
          <w:p>
            <w:pPr>
              <w:snapToGrid w:val="0"/>
              <w:spacing w:after="0" w:line="300" w:lineRule="exact"/>
              <w:jc w:val="center"/>
              <w:rPr>
                <w:rFonts w:ascii="Times New Roman" w:hAnsi="Times New Roman" w:eastAsia="宋体"/>
                <w:b/>
                <w:bCs/>
                <w:sz w:val="24"/>
                <w:szCs w:val="24"/>
                <w:highlight w:val="none"/>
              </w:rPr>
            </w:pPr>
            <w:bookmarkStart w:id="21" w:name="_Hlk65231883"/>
            <w:bookmarkStart w:id="22" w:name="_Hlk100262383"/>
            <w:r>
              <w:rPr>
                <w:rFonts w:ascii="Times New Roman" w:hAnsi="Times New Roman" w:eastAsia="宋体"/>
                <w:b/>
                <w:bCs/>
                <w:sz w:val="24"/>
                <w:szCs w:val="24"/>
                <w:highlight w:val="none"/>
              </w:rPr>
              <w:t>类别</w:t>
            </w:r>
          </w:p>
        </w:tc>
        <w:tc>
          <w:tcPr>
            <w:tcW w:w="1301" w:type="pct"/>
            <w:tcBorders>
              <w:top w:val="single" w:color="auto" w:sz="12" w:space="0"/>
            </w:tcBorders>
            <w:shd w:val="clear" w:color="auto" w:fill="auto"/>
            <w:vAlign w:val="center"/>
          </w:tcPr>
          <w:p>
            <w:pPr>
              <w:snapToGrid w:val="0"/>
              <w:spacing w:after="0" w:line="300" w:lineRule="exact"/>
              <w:jc w:val="center"/>
              <w:rPr>
                <w:rFonts w:ascii="Times New Roman" w:hAnsi="Times New Roman" w:eastAsia="宋体"/>
                <w:b/>
                <w:bCs/>
                <w:sz w:val="24"/>
                <w:szCs w:val="24"/>
                <w:highlight w:val="none"/>
              </w:rPr>
            </w:pPr>
            <w:r>
              <w:rPr>
                <w:rFonts w:ascii="Times New Roman" w:hAnsi="Times New Roman" w:eastAsia="宋体"/>
                <w:b/>
                <w:bCs/>
                <w:sz w:val="24"/>
                <w:szCs w:val="24"/>
                <w:highlight w:val="none"/>
              </w:rPr>
              <w:t>利益相关方</w:t>
            </w:r>
          </w:p>
        </w:tc>
        <w:tc>
          <w:tcPr>
            <w:tcW w:w="3147" w:type="pct"/>
            <w:tcBorders>
              <w:top w:val="single" w:color="auto" w:sz="12" w:space="0"/>
              <w:right w:val="nil"/>
            </w:tcBorders>
            <w:shd w:val="clear" w:color="auto" w:fill="auto"/>
            <w:vAlign w:val="center"/>
          </w:tcPr>
          <w:p>
            <w:pPr>
              <w:snapToGrid w:val="0"/>
              <w:spacing w:after="0" w:line="300" w:lineRule="exact"/>
              <w:jc w:val="center"/>
              <w:rPr>
                <w:rFonts w:ascii="Times New Roman" w:hAnsi="Times New Roman" w:eastAsia="宋体"/>
                <w:b/>
                <w:bCs/>
                <w:sz w:val="24"/>
                <w:szCs w:val="24"/>
                <w:highlight w:val="none"/>
              </w:rPr>
            </w:pPr>
            <w:r>
              <w:rPr>
                <w:rFonts w:ascii="Times New Roman" w:hAnsi="Times New Roman" w:eastAsia="宋体"/>
                <w:b/>
                <w:bCs/>
                <w:sz w:val="24"/>
                <w:szCs w:val="24"/>
                <w:highlight w:val="none"/>
              </w:rPr>
              <w:t>角色（对项目的影响/受项目的影响）</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552" w:type="pct"/>
            <w:vMerge w:val="restart"/>
            <w:tcBorders>
              <w:left w:val="nil"/>
              <w:right w:val="single" w:color="auto" w:sz="2" w:space="0"/>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弱势</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群体</w:t>
            </w:r>
          </w:p>
        </w:tc>
        <w:tc>
          <w:tcPr>
            <w:tcW w:w="1301" w:type="pct"/>
            <w:tcBorders>
              <w:left w:val="single" w:color="auto" w:sz="2" w:space="0"/>
              <w:right w:val="single" w:color="auto" w:sz="2" w:space="0"/>
            </w:tcBorders>
            <w:shd w:val="clear" w:color="auto" w:fill="auto"/>
            <w:vAlign w:val="center"/>
          </w:tcPr>
          <w:p>
            <w:pPr>
              <w:snapToGrid w:val="0"/>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老人</w:t>
            </w:r>
          </w:p>
        </w:tc>
        <w:tc>
          <w:tcPr>
            <w:tcW w:w="3147" w:type="pct"/>
            <w:tcBorders>
              <w:top w:val="single" w:color="auto" w:sz="2" w:space="0"/>
              <w:left w:val="single" w:color="auto" w:sz="2" w:space="0"/>
              <w:bottom w:val="single" w:color="auto" w:sz="2" w:space="0"/>
              <w:right w:val="nil"/>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免疫力低下人群，享受更便捷的就医服务，减少看病成本。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552" w:type="pct"/>
            <w:vMerge w:val="continue"/>
            <w:tcBorders>
              <w:left w:val="nil"/>
              <w:right w:val="single" w:color="auto" w:sz="2" w:space="0"/>
            </w:tcBorders>
            <w:shd w:val="clear" w:color="auto" w:fill="auto"/>
            <w:vAlign w:val="center"/>
          </w:tcPr>
          <w:p>
            <w:pPr>
              <w:snapToGrid w:val="0"/>
              <w:spacing w:after="0" w:line="300" w:lineRule="exact"/>
              <w:rPr>
                <w:rFonts w:ascii="Times New Roman" w:hAnsi="Times New Roman" w:eastAsia="仿宋_GB2312"/>
                <w:sz w:val="24"/>
                <w:szCs w:val="24"/>
                <w:highlight w:val="none"/>
              </w:rPr>
            </w:pPr>
          </w:p>
        </w:tc>
        <w:tc>
          <w:tcPr>
            <w:tcW w:w="1301" w:type="pct"/>
            <w:tcBorders>
              <w:left w:val="single" w:color="auto" w:sz="2" w:space="0"/>
              <w:right w:val="single" w:color="auto" w:sz="2" w:space="0"/>
            </w:tcBorders>
            <w:shd w:val="clear" w:color="auto" w:fill="auto"/>
            <w:vAlign w:val="center"/>
          </w:tcPr>
          <w:p>
            <w:pPr>
              <w:snapToGrid w:val="0"/>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妇女</w:t>
            </w:r>
          </w:p>
        </w:tc>
        <w:tc>
          <w:tcPr>
            <w:tcW w:w="3147" w:type="pct"/>
            <w:tcBorders>
              <w:top w:val="single" w:color="auto" w:sz="2" w:space="0"/>
              <w:left w:val="single" w:color="auto" w:sz="2" w:space="0"/>
              <w:bottom w:val="single" w:color="auto" w:sz="2" w:space="0"/>
              <w:right w:val="nil"/>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家庭健康教育主要影响者；身体素质整体较为薄弱；女性健康情况能够得到更多关注，享受更加便捷及全面的就医服务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blHeader/>
          <w:jc w:val="center"/>
        </w:trPr>
        <w:tc>
          <w:tcPr>
            <w:tcW w:w="552" w:type="pct"/>
            <w:vMerge w:val="continue"/>
            <w:tcBorders>
              <w:left w:val="nil"/>
              <w:right w:val="single" w:color="auto" w:sz="2" w:space="0"/>
            </w:tcBorders>
            <w:shd w:val="clear" w:color="auto" w:fill="auto"/>
            <w:vAlign w:val="center"/>
          </w:tcPr>
          <w:p>
            <w:pPr>
              <w:snapToGrid w:val="0"/>
              <w:spacing w:after="0" w:line="300" w:lineRule="exact"/>
              <w:rPr>
                <w:rFonts w:ascii="Times New Roman" w:hAnsi="Times New Roman" w:eastAsia="仿宋_GB2312"/>
                <w:sz w:val="24"/>
                <w:szCs w:val="24"/>
                <w:highlight w:val="none"/>
              </w:rPr>
            </w:pPr>
          </w:p>
        </w:tc>
        <w:tc>
          <w:tcPr>
            <w:tcW w:w="1301" w:type="pct"/>
            <w:tcBorders>
              <w:left w:val="single" w:color="auto" w:sz="2" w:space="0"/>
              <w:right w:val="single" w:color="auto" w:sz="2" w:space="0"/>
            </w:tcBorders>
            <w:shd w:val="clear" w:color="auto" w:fill="auto"/>
            <w:vAlign w:val="center"/>
          </w:tcPr>
          <w:p>
            <w:pPr>
              <w:snapToGrid w:val="0"/>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留守儿童</w:t>
            </w:r>
          </w:p>
        </w:tc>
        <w:tc>
          <w:tcPr>
            <w:tcW w:w="3147" w:type="pct"/>
            <w:tcBorders>
              <w:top w:val="single" w:color="auto" w:sz="2" w:space="0"/>
              <w:left w:val="single" w:color="auto" w:sz="2" w:space="0"/>
              <w:bottom w:val="single" w:color="auto" w:sz="2" w:space="0"/>
              <w:right w:val="nil"/>
            </w:tcBorders>
            <w:shd w:val="clear" w:color="auto" w:fill="auto"/>
            <w:vAlign w:val="center"/>
          </w:tcPr>
          <w:p>
            <w:pPr>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免疫力低下人群，缺少监护人对药物使用及传染病预防的监护；享受更便捷的就医服务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jc w:val="center"/>
        </w:trPr>
        <w:tc>
          <w:tcPr>
            <w:tcW w:w="552" w:type="pct"/>
            <w:vMerge w:val="continue"/>
            <w:tcBorders>
              <w:left w:val="nil"/>
              <w:bottom w:val="single" w:color="auto" w:sz="12" w:space="0"/>
              <w:right w:val="single" w:color="auto" w:sz="2" w:space="0"/>
            </w:tcBorders>
            <w:shd w:val="clear" w:color="auto" w:fill="auto"/>
            <w:vAlign w:val="center"/>
          </w:tcPr>
          <w:p>
            <w:pPr>
              <w:snapToGrid w:val="0"/>
              <w:spacing w:after="0" w:line="300" w:lineRule="exact"/>
              <w:rPr>
                <w:rFonts w:ascii="Times New Roman" w:hAnsi="Times New Roman" w:eastAsia="仿宋_GB2312"/>
                <w:sz w:val="24"/>
                <w:szCs w:val="24"/>
                <w:highlight w:val="none"/>
              </w:rPr>
            </w:pPr>
          </w:p>
        </w:tc>
        <w:tc>
          <w:tcPr>
            <w:tcW w:w="1301" w:type="pct"/>
            <w:tcBorders>
              <w:left w:val="single" w:color="auto" w:sz="2" w:space="0"/>
              <w:bottom w:val="single" w:color="auto" w:sz="12" w:space="0"/>
              <w:right w:val="single" w:color="auto" w:sz="2" w:space="0"/>
            </w:tcBorders>
            <w:shd w:val="clear" w:color="auto" w:fill="auto"/>
            <w:vAlign w:val="center"/>
          </w:tcPr>
          <w:p>
            <w:pPr>
              <w:snapToGrid w:val="0"/>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残疾人及传染病</w:t>
            </w:r>
          </w:p>
          <w:p>
            <w:pPr>
              <w:snapToGrid w:val="0"/>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患者等</w:t>
            </w:r>
          </w:p>
        </w:tc>
        <w:tc>
          <w:tcPr>
            <w:tcW w:w="3147" w:type="pct"/>
            <w:tcBorders>
              <w:top w:val="single" w:color="auto" w:sz="2" w:space="0"/>
              <w:left w:val="single" w:color="auto" w:sz="2" w:space="0"/>
              <w:bottom w:val="single" w:color="auto" w:sz="12" w:space="0"/>
              <w:right w:val="nil"/>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免疫力低下人群、对药物依赖较大；享受更便捷的就医服务，减少看病成本。</w:t>
            </w:r>
          </w:p>
        </w:tc>
      </w:tr>
      <w:bookmarkEnd w:id="22"/>
    </w:tbl>
    <w:p>
      <w:pPr>
        <w:spacing w:before="93" w:beforeLines="30" w:after="0" w:line="240" w:lineRule="auto"/>
        <w:rPr>
          <w:rFonts w:ascii="Times New Roman" w:hAnsi="Times New Roman" w:eastAsia="仿宋_GB2312"/>
          <w:kern w:val="0"/>
          <w:sz w:val="24"/>
          <w:szCs w:val="24"/>
          <w:highlight w:val="none"/>
        </w:rPr>
      </w:pPr>
      <w:r>
        <w:rPr>
          <w:rFonts w:ascii="Times New Roman" w:hAnsi="Times New Roman" w:eastAsia="黑体"/>
          <w:kern w:val="0"/>
          <w:sz w:val="24"/>
          <w:szCs w:val="24"/>
          <w:highlight w:val="none"/>
        </w:rPr>
        <w:t>来源：</w:t>
      </w:r>
      <w:r>
        <w:rPr>
          <w:rFonts w:ascii="Times New Roman" w:hAnsi="Times New Roman" w:eastAsia="仿宋_GB2312"/>
          <w:kern w:val="0"/>
          <w:sz w:val="24"/>
          <w:szCs w:val="24"/>
          <w:highlight w:val="none"/>
        </w:rPr>
        <w:t>项目环境和社会影响调查，相关部门访谈和咨询</w:t>
      </w:r>
    </w:p>
    <w:p>
      <w:pPr>
        <w:pStyle w:val="4"/>
        <w:adjustRightInd w:val="0"/>
        <w:snapToGrid w:val="0"/>
        <w:spacing w:before="312" w:beforeLines="100" w:after="0" w:line="360" w:lineRule="auto"/>
        <w:ind w:left="578" w:hanging="578"/>
        <w:rPr>
          <w:rFonts w:ascii="Times New Roman" w:hAnsi="Times New Roman" w:eastAsia="楷体_GB2312" w:cs="Times New Roman"/>
          <w:bCs w:val="0"/>
          <w:highlight w:val="none"/>
        </w:rPr>
      </w:pPr>
      <w:bookmarkStart w:id="23" w:name="_Toc1987353265"/>
      <w:r>
        <w:rPr>
          <w:rFonts w:ascii="Times New Roman" w:hAnsi="Times New Roman" w:eastAsia="楷体_GB2312" w:cs="Times New Roman"/>
          <w:bCs w:val="0"/>
          <w:highlight w:val="none"/>
        </w:rPr>
        <w:t>项目利益相关方需求摘要</w:t>
      </w:r>
      <w:bookmarkEnd w:id="23"/>
      <w:bookmarkStart w:id="24" w:name="_Toc65281022"/>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根据不同利益相关者在本项目中不同的角色及其影响力，通过焦点小组座谈、关键信息人访谈等方法对关键利益相关方的需求进行了识别，如语言需求、首选通知方式以及可能存在的特殊需求等，及其在项目实施的不同阶段对项目信息公开、咨询方面的需求。</w:t>
      </w:r>
    </w:p>
    <w:p>
      <w:pPr>
        <w:widowControl/>
        <w:spacing w:after="0" w:line="240" w:lineRule="auto"/>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在项目环境和社会相关文件和资质的报批中，需至少提前3个月和生态环境局及国土资源和规划局进行沟通和协商，以确保项目能按计划获得相关审批，顺利实施。关键利益相关方的需求分析详见表2-3。</w:t>
      </w:r>
      <w:r>
        <w:rPr>
          <w:rFonts w:ascii="Times New Roman" w:hAnsi="Times New Roman" w:eastAsia="仿宋_GB2312"/>
          <w:kern w:val="0"/>
          <w:sz w:val="32"/>
          <w:szCs w:val="32"/>
          <w:highlight w:val="none"/>
        </w:rPr>
        <w:br w:type="page"/>
      </w:r>
    </w:p>
    <w:p>
      <w:pPr>
        <w:pStyle w:val="12"/>
        <w:spacing w:after="0" w:line="400" w:lineRule="exact"/>
        <w:jc w:val="center"/>
        <w:rPr>
          <w:rFonts w:ascii="Times New Roman" w:hAnsi="Times New Roman" w:cs="Times New Roman"/>
          <w:kern w:val="0"/>
          <w:sz w:val="28"/>
          <w:szCs w:val="28"/>
          <w:highlight w:val="none"/>
        </w:rPr>
      </w:pPr>
      <w:r>
        <w:rPr>
          <w:rFonts w:ascii="Times New Roman" w:hAnsi="Times New Roman" w:cs="Times New Roman"/>
          <w:kern w:val="0"/>
          <w:sz w:val="28"/>
          <w:szCs w:val="28"/>
          <w:highlight w:val="none"/>
        </w:rPr>
        <w:t>表2-3 利益相关方需求摘要</w:t>
      </w:r>
      <w:bookmarkEnd w:id="24"/>
    </w:p>
    <w:tbl>
      <w:tblPr>
        <w:tblStyle w:val="26"/>
        <w:tblW w:w="500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43"/>
        <w:gridCol w:w="2182"/>
        <w:gridCol w:w="1453"/>
        <w:gridCol w:w="2295"/>
        <w:gridCol w:w="13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blHeader/>
        </w:trPr>
        <w:tc>
          <w:tcPr>
            <w:tcW w:w="728" w:type="pct"/>
            <w:tcBorders>
              <w:top w:val="single" w:color="auto" w:sz="12" w:space="0"/>
              <w:left w:val="nil"/>
            </w:tcBorders>
            <w:shd w:val="clear" w:color="auto" w:fill="auto"/>
            <w:vAlign w:val="center"/>
          </w:tcPr>
          <w:p>
            <w:pPr>
              <w:spacing w:after="0" w:line="300" w:lineRule="exact"/>
              <w:jc w:val="center"/>
              <w:rPr>
                <w:rFonts w:ascii="Times New Roman" w:hAnsi="Times New Roman" w:eastAsia="黑体"/>
                <w:bCs/>
                <w:sz w:val="24"/>
                <w:szCs w:val="24"/>
                <w:highlight w:val="none"/>
              </w:rPr>
            </w:pPr>
            <w:r>
              <w:rPr>
                <w:rFonts w:ascii="Times New Roman" w:hAnsi="Times New Roman" w:eastAsia="黑体"/>
                <w:bCs/>
                <w:sz w:val="24"/>
                <w:szCs w:val="24"/>
                <w:highlight w:val="none"/>
              </w:rPr>
              <w:t>类别</w:t>
            </w:r>
          </w:p>
        </w:tc>
        <w:tc>
          <w:tcPr>
            <w:tcW w:w="1278" w:type="pct"/>
            <w:tcBorders>
              <w:top w:val="single" w:color="auto" w:sz="12" w:space="0"/>
            </w:tcBorders>
            <w:shd w:val="clear" w:color="auto" w:fill="auto"/>
            <w:vAlign w:val="center"/>
          </w:tcPr>
          <w:p>
            <w:pPr>
              <w:spacing w:after="0" w:line="300" w:lineRule="exact"/>
              <w:jc w:val="center"/>
              <w:rPr>
                <w:rFonts w:ascii="Times New Roman" w:hAnsi="Times New Roman" w:eastAsia="黑体"/>
                <w:bCs/>
                <w:sz w:val="24"/>
                <w:szCs w:val="24"/>
                <w:highlight w:val="none"/>
              </w:rPr>
            </w:pPr>
            <w:r>
              <w:rPr>
                <w:rFonts w:ascii="Times New Roman" w:hAnsi="Times New Roman" w:eastAsia="黑体"/>
                <w:bCs/>
                <w:sz w:val="24"/>
                <w:szCs w:val="24"/>
                <w:highlight w:val="none"/>
              </w:rPr>
              <w:t>利益相关方</w:t>
            </w:r>
          </w:p>
        </w:tc>
        <w:tc>
          <w:tcPr>
            <w:tcW w:w="851" w:type="pct"/>
            <w:tcBorders>
              <w:top w:val="single" w:color="auto" w:sz="12" w:space="0"/>
            </w:tcBorders>
            <w:shd w:val="clear" w:color="auto" w:fill="auto"/>
            <w:vAlign w:val="center"/>
          </w:tcPr>
          <w:p>
            <w:pPr>
              <w:spacing w:after="0" w:line="300" w:lineRule="exact"/>
              <w:jc w:val="center"/>
              <w:rPr>
                <w:rFonts w:ascii="Times New Roman" w:hAnsi="Times New Roman" w:eastAsia="黑体"/>
                <w:bCs/>
                <w:sz w:val="24"/>
                <w:szCs w:val="24"/>
                <w:highlight w:val="none"/>
              </w:rPr>
            </w:pPr>
            <w:r>
              <w:rPr>
                <w:rFonts w:ascii="Times New Roman" w:hAnsi="Times New Roman" w:eastAsia="黑体"/>
                <w:bCs/>
                <w:sz w:val="24"/>
                <w:szCs w:val="24"/>
                <w:highlight w:val="none"/>
              </w:rPr>
              <w:t>语言需求</w:t>
            </w:r>
          </w:p>
        </w:tc>
        <w:tc>
          <w:tcPr>
            <w:tcW w:w="1344" w:type="pct"/>
            <w:tcBorders>
              <w:top w:val="single" w:color="auto" w:sz="12" w:space="0"/>
            </w:tcBorders>
            <w:shd w:val="clear" w:color="auto" w:fill="auto"/>
            <w:vAlign w:val="center"/>
          </w:tcPr>
          <w:p>
            <w:pPr>
              <w:spacing w:after="0" w:line="300" w:lineRule="exact"/>
              <w:jc w:val="center"/>
              <w:rPr>
                <w:rFonts w:ascii="Times New Roman" w:hAnsi="Times New Roman" w:eastAsia="黑体"/>
                <w:bCs/>
                <w:sz w:val="24"/>
                <w:szCs w:val="24"/>
                <w:highlight w:val="none"/>
              </w:rPr>
            </w:pPr>
            <w:r>
              <w:rPr>
                <w:rFonts w:ascii="Times New Roman" w:hAnsi="Times New Roman" w:eastAsia="黑体"/>
                <w:bCs/>
                <w:sz w:val="24"/>
                <w:szCs w:val="24"/>
                <w:highlight w:val="none"/>
              </w:rPr>
              <w:t>首选通知方式</w:t>
            </w:r>
          </w:p>
        </w:tc>
        <w:tc>
          <w:tcPr>
            <w:tcW w:w="798" w:type="pct"/>
            <w:tcBorders>
              <w:top w:val="single" w:color="auto" w:sz="12" w:space="0"/>
              <w:right w:val="nil"/>
            </w:tcBorders>
            <w:shd w:val="clear" w:color="auto" w:fill="auto"/>
            <w:vAlign w:val="center"/>
          </w:tcPr>
          <w:p>
            <w:pPr>
              <w:spacing w:after="0" w:line="300" w:lineRule="exact"/>
              <w:jc w:val="center"/>
              <w:rPr>
                <w:rFonts w:ascii="Times New Roman" w:hAnsi="Times New Roman" w:eastAsia="黑体"/>
                <w:bCs/>
                <w:sz w:val="24"/>
                <w:szCs w:val="24"/>
                <w:highlight w:val="none"/>
              </w:rPr>
            </w:pPr>
            <w:r>
              <w:rPr>
                <w:rFonts w:ascii="Times New Roman" w:hAnsi="Times New Roman" w:eastAsia="黑体"/>
                <w:bCs/>
                <w:sz w:val="24"/>
                <w:szCs w:val="24"/>
                <w:highlight w:val="none"/>
              </w:rPr>
              <w:t>特殊需求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8" w:hRule="atLeast"/>
        </w:trPr>
        <w:tc>
          <w:tcPr>
            <w:tcW w:w="728" w:type="pct"/>
            <w:vMerge w:val="restart"/>
            <w:tcBorders>
              <w:top w:val="single" w:color="auto" w:sz="4" w:space="0"/>
              <w:left w:val="nil"/>
            </w:tcBorders>
            <w:shd w:val="clear" w:color="auto" w:fill="auto"/>
            <w:vAlign w:val="center"/>
          </w:tcPr>
          <w:p>
            <w:pPr>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受项目</w:t>
            </w:r>
          </w:p>
          <w:p>
            <w:pPr>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影响各方</w:t>
            </w:r>
          </w:p>
          <w:p>
            <w:pPr>
              <w:spacing w:after="0" w:line="300" w:lineRule="exact"/>
              <w:rPr>
                <w:rFonts w:ascii="Times New Roman" w:hAnsi="Times New Roman" w:eastAsia="仿宋_GB2312"/>
                <w:sz w:val="24"/>
                <w:szCs w:val="24"/>
                <w:highlight w:val="none"/>
              </w:rPr>
            </w:pPr>
          </w:p>
        </w:tc>
        <w:tc>
          <w:tcPr>
            <w:tcW w:w="1278" w:type="pct"/>
            <w:shd w:val="clear" w:color="auto" w:fill="auto"/>
            <w:vAlign w:val="center"/>
          </w:tcPr>
          <w:p>
            <w:pPr>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畜禽养殖户</w:t>
            </w:r>
          </w:p>
        </w:tc>
        <w:tc>
          <w:tcPr>
            <w:tcW w:w="851" w:type="pct"/>
            <w:shd w:val="clear" w:color="auto" w:fill="auto"/>
            <w:vAlign w:val="center"/>
          </w:tcPr>
          <w:p>
            <w:pPr>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普通话</w:t>
            </w:r>
          </w:p>
        </w:tc>
        <w:tc>
          <w:tcPr>
            <w:tcW w:w="1344" w:type="pct"/>
            <w:shd w:val="clear" w:color="auto" w:fill="auto"/>
            <w:vAlign w:val="center"/>
          </w:tcPr>
          <w:p>
            <w:pPr>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政府文件，会议通知，电子邮件</w:t>
            </w:r>
          </w:p>
        </w:tc>
        <w:tc>
          <w:tcPr>
            <w:tcW w:w="798" w:type="pct"/>
            <w:tcBorders>
              <w:right w:val="nil"/>
            </w:tcBorders>
            <w:shd w:val="clear" w:color="auto" w:fill="auto"/>
            <w:vAlign w:val="center"/>
          </w:tcPr>
          <w:p>
            <w:pPr>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 w:hRule="atLeast"/>
        </w:trPr>
        <w:tc>
          <w:tcPr>
            <w:tcW w:w="728" w:type="pct"/>
            <w:vMerge w:val="continue"/>
            <w:tcBorders>
              <w:left w:val="nil"/>
            </w:tcBorders>
            <w:shd w:val="clear" w:color="auto" w:fill="auto"/>
            <w:vAlign w:val="center"/>
          </w:tcPr>
          <w:p>
            <w:pPr>
              <w:spacing w:after="0" w:line="300" w:lineRule="exact"/>
              <w:rPr>
                <w:rFonts w:ascii="Times New Roman" w:hAnsi="Times New Roman" w:eastAsia="仿宋_GB2312"/>
                <w:sz w:val="24"/>
                <w:szCs w:val="24"/>
                <w:highlight w:val="none"/>
              </w:rPr>
            </w:pPr>
          </w:p>
        </w:tc>
        <w:tc>
          <w:tcPr>
            <w:tcW w:w="1278" w:type="pct"/>
            <w:shd w:val="clear" w:color="auto" w:fill="auto"/>
            <w:vAlign w:val="center"/>
          </w:tcPr>
          <w:p>
            <w:pPr>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动物疫病防控人员</w:t>
            </w:r>
          </w:p>
        </w:tc>
        <w:tc>
          <w:tcPr>
            <w:tcW w:w="851" w:type="pct"/>
            <w:shd w:val="clear" w:color="auto" w:fill="auto"/>
            <w:vAlign w:val="center"/>
          </w:tcPr>
          <w:p>
            <w:pPr>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普通话</w:t>
            </w:r>
          </w:p>
        </w:tc>
        <w:tc>
          <w:tcPr>
            <w:tcW w:w="1344" w:type="pct"/>
            <w:shd w:val="clear" w:color="auto" w:fill="auto"/>
            <w:vAlign w:val="center"/>
          </w:tcPr>
          <w:p>
            <w:pPr>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政府文件，会议通知，电子邮件</w:t>
            </w:r>
          </w:p>
        </w:tc>
        <w:tc>
          <w:tcPr>
            <w:tcW w:w="798" w:type="pct"/>
            <w:tcBorders>
              <w:right w:val="nil"/>
            </w:tcBorders>
            <w:shd w:val="clear" w:color="auto" w:fill="auto"/>
            <w:vAlign w:val="center"/>
          </w:tcPr>
          <w:p>
            <w:pPr>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 w:hRule="atLeast"/>
        </w:trPr>
        <w:tc>
          <w:tcPr>
            <w:tcW w:w="728" w:type="pct"/>
            <w:vMerge w:val="continue"/>
            <w:tcBorders>
              <w:left w:val="nil"/>
            </w:tcBorders>
            <w:shd w:val="clear" w:color="auto" w:fill="auto"/>
            <w:vAlign w:val="center"/>
          </w:tcPr>
          <w:p>
            <w:pPr>
              <w:spacing w:after="0" w:line="300" w:lineRule="exact"/>
              <w:rPr>
                <w:rFonts w:ascii="Times New Roman" w:hAnsi="Times New Roman" w:eastAsia="仿宋_GB2312"/>
                <w:sz w:val="24"/>
                <w:szCs w:val="24"/>
                <w:highlight w:val="none"/>
              </w:rPr>
            </w:pPr>
          </w:p>
        </w:tc>
        <w:tc>
          <w:tcPr>
            <w:tcW w:w="1278" w:type="pct"/>
            <w:shd w:val="clear" w:color="auto" w:fill="auto"/>
            <w:vAlign w:val="center"/>
          </w:tcPr>
          <w:p>
            <w:pPr>
              <w:spacing w:after="0" w:line="300" w:lineRule="exact"/>
              <w:rPr>
                <w:rFonts w:ascii="Times New Roman" w:hAnsi="Times New Roman" w:eastAsia="仿宋_GB2312"/>
                <w:sz w:val="24"/>
                <w:szCs w:val="24"/>
                <w:highlight w:val="none"/>
              </w:rPr>
            </w:pPr>
            <w:r>
              <w:rPr>
                <w:rFonts w:ascii="Times New Roman" w:hAnsi="Times New Roman" w:eastAsia="仿宋_GB2312"/>
                <w:kern w:val="0"/>
                <w:sz w:val="24"/>
                <w:szCs w:val="24"/>
                <w:highlight w:val="none"/>
              </w:rPr>
              <w:t>相关领域实验室科研人员</w:t>
            </w:r>
          </w:p>
        </w:tc>
        <w:tc>
          <w:tcPr>
            <w:tcW w:w="851" w:type="pct"/>
            <w:shd w:val="clear" w:color="auto" w:fill="auto"/>
            <w:vAlign w:val="center"/>
          </w:tcPr>
          <w:p>
            <w:pPr>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普通话</w:t>
            </w:r>
          </w:p>
        </w:tc>
        <w:tc>
          <w:tcPr>
            <w:tcW w:w="1344" w:type="pct"/>
            <w:shd w:val="clear" w:color="auto" w:fill="auto"/>
            <w:vAlign w:val="center"/>
          </w:tcPr>
          <w:p>
            <w:pPr>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政府文件，会议通知，电子邮件</w:t>
            </w:r>
          </w:p>
        </w:tc>
        <w:tc>
          <w:tcPr>
            <w:tcW w:w="798" w:type="pct"/>
            <w:tcBorders>
              <w:right w:val="nil"/>
            </w:tcBorders>
            <w:shd w:val="clear" w:color="auto" w:fill="auto"/>
            <w:vAlign w:val="center"/>
          </w:tcPr>
          <w:p>
            <w:pPr>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日间访谈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 w:hRule="atLeast"/>
        </w:trPr>
        <w:tc>
          <w:tcPr>
            <w:tcW w:w="728" w:type="pct"/>
            <w:vMerge w:val="continue"/>
            <w:tcBorders>
              <w:left w:val="nil"/>
              <w:bottom w:val="single" w:color="auto" w:sz="12" w:space="0"/>
            </w:tcBorders>
            <w:shd w:val="clear" w:color="auto" w:fill="auto"/>
            <w:vAlign w:val="center"/>
          </w:tcPr>
          <w:p>
            <w:pPr>
              <w:spacing w:after="0" w:line="300" w:lineRule="exact"/>
              <w:rPr>
                <w:rFonts w:ascii="Times New Roman" w:hAnsi="Times New Roman" w:eastAsia="仿宋_GB2312"/>
                <w:sz w:val="24"/>
                <w:szCs w:val="24"/>
                <w:highlight w:val="none"/>
              </w:rPr>
            </w:pPr>
          </w:p>
        </w:tc>
        <w:tc>
          <w:tcPr>
            <w:tcW w:w="1278" w:type="pct"/>
            <w:tcBorders>
              <w:bottom w:val="single" w:color="auto" w:sz="12" w:space="0"/>
            </w:tcBorders>
            <w:shd w:val="clear" w:color="auto" w:fill="auto"/>
            <w:vAlign w:val="center"/>
          </w:tcPr>
          <w:p>
            <w:pPr>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社区居民</w:t>
            </w:r>
          </w:p>
        </w:tc>
        <w:tc>
          <w:tcPr>
            <w:tcW w:w="851" w:type="pct"/>
            <w:tcBorders>
              <w:bottom w:val="single" w:color="auto" w:sz="12" w:space="0"/>
            </w:tcBorders>
            <w:shd w:val="clear" w:color="auto" w:fill="auto"/>
            <w:vAlign w:val="center"/>
          </w:tcPr>
          <w:p>
            <w:pPr>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普通话/方言</w:t>
            </w:r>
          </w:p>
        </w:tc>
        <w:tc>
          <w:tcPr>
            <w:tcW w:w="1344" w:type="pct"/>
            <w:tcBorders>
              <w:bottom w:val="single" w:color="auto" w:sz="12" w:space="0"/>
            </w:tcBorders>
            <w:shd w:val="clear" w:color="auto" w:fill="auto"/>
            <w:vAlign w:val="center"/>
          </w:tcPr>
          <w:p>
            <w:pPr>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社区公告栏、座谈会</w:t>
            </w:r>
          </w:p>
        </w:tc>
        <w:tc>
          <w:tcPr>
            <w:tcW w:w="798" w:type="pct"/>
            <w:tcBorders>
              <w:bottom w:val="single" w:color="auto" w:sz="12" w:space="0"/>
              <w:right w:val="nil"/>
            </w:tcBorders>
            <w:shd w:val="clear" w:color="auto" w:fill="auto"/>
            <w:vAlign w:val="center"/>
          </w:tcPr>
          <w:p>
            <w:pPr>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日间会议</w:t>
            </w:r>
          </w:p>
        </w:tc>
      </w:tr>
    </w:tbl>
    <w:p>
      <w:pPr>
        <w:spacing w:before="93" w:beforeLines="30" w:after="0"/>
        <w:rPr>
          <w:rFonts w:ascii="Times New Roman" w:hAnsi="Times New Roman" w:eastAsia="仿宋_GB2312"/>
          <w:kern w:val="0"/>
          <w:sz w:val="24"/>
          <w:szCs w:val="24"/>
          <w:highlight w:val="none"/>
        </w:rPr>
      </w:pPr>
      <w:r>
        <w:rPr>
          <w:rFonts w:ascii="Times New Roman" w:hAnsi="Times New Roman" w:eastAsia="黑体"/>
          <w:kern w:val="0"/>
          <w:sz w:val="24"/>
          <w:szCs w:val="24"/>
          <w:highlight w:val="none"/>
        </w:rPr>
        <w:t>来源：</w:t>
      </w:r>
      <w:r>
        <w:rPr>
          <w:rFonts w:ascii="Times New Roman" w:hAnsi="Times New Roman" w:eastAsia="仿宋_GB2312"/>
          <w:kern w:val="0"/>
          <w:sz w:val="24"/>
          <w:szCs w:val="24"/>
          <w:highlight w:val="none"/>
        </w:rPr>
        <w:t>项目环境和社会影响调查，相关部门访谈和咨询</w:t>
      </w:r>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bookmarkStart w:id="25" w:name="_Toc65281023"/>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为确保弱势群体在项目周期中能够充分参与项目及其利益，在本项目的社会影响调查和公众参与期间，特别关注了相关弱势群体的主要特征及其需求。弱势群体的识别及其需求详见表2-4。</w:t>
      </w:r>
    </w:p>
    <w:p>
      <w:pPr>
        <w:pStyle w:val="12"/>
        <w:spacing w:after="156" w:afterLines="50" w:line="400" w:lineRule="exact"/>
        <w:jc w:val="center"/>
        <w:rPr>
          <w:rFonts w:ascii="Times New Roman" w:hAnsi="Times New Roman" w:cs="Times New Roman"/>
          <w:kern w:val="0"/>
          <w:sz w:val="28"/>
          <w:szCs w:val="28"/>
          <w:highlight w:val="none"/>
        </w:rPr>
      </w:pPr>
      <w:bookmarkStart w:id="26" w:name="_Hlk100262322"/>
      <w:r>
        <w:rPr>
          <w:rFonts w:ascii="Times New Roman" w:hAnsi="Times New Roman" w:cs="Times New Roman"/>
          <w:kern w:val="0"/>
          <w:sz w:val="28"/>
          <w:szCs w:val="28"/>
          <w:highlight w:val="none"/>
        </w:rPr>
        <w:t>表2-4 弱势群体识别及需求</w:t>
      </w:r>
      <w:bookmarkEnd w:id="25"/>
    </w:p>
    <w:tbl>
      <w:tblPr>
        <w:tblStyle w:val="26"/>
        <w:tblW w:w="488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254"/>
        <w:gridCol w:w="2011"/>
        <w:gridCol w:w="1009"/>
        <w:gridCol w:w="2061"/>
        <w:gridCol w:w="199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4" w:hRule="atLeast"/>
          <w:tblHeader/>
          <w:jc w:val="center"/>
        </w:trPr>
        <w:tc>
          <w:tcPr>
            <w:tcW w:w="753" w:type="pct"/>
            <w:shd w:val="clear" w:color="auto" w:fill="auto"/>
            <w:vAlign w:val="center"/>
          </w:tcPr>
          <w:p>
            <w:pPr>
              <w:spacing w:after="0" w:line="240" w:lineRule="exact"/>
              <w:jc w:val="center"/>
              <w:rPr>
                <w:rFonts w:ascii="Times New Roman" w:hAnsi="Times New Roman" w:eastAsia="黑体"/>
                <w:bCs/>
                <w:sz w:val="24"/>
                <w:szCs w:val="24"/>
                <w:highlight w:val="none"/>
              </w:rPr>
            </w:pPr>
            <w:bookmarkStart w:id="27" w:name="_Hlk100262293"/>
            <w:r>
              <w:rPr>
                <w:rFonts w:ascii="Times New Roman" w:hAnsi="Times New Roman" w:eastAsia="黑体"/>
                <w:bCs/>
                <w:sz w:val="24"/>
                <w:szCs w:val="24"/>
                <w:highlight w:val="none"/>
              </w:rPr>
              <w:t>弱势群体</w:t>
            </w:r>
          </w:p>
        </w:tc>
        <w:tc>
          <w:tcPr>
            <w:tcW w:w="1207" w:type="pct"/>
            <w:shd w:val="clear" w:color="auto" w:fill="auto"/>
            <w:vAlign w:val="center"/>
          </w:tcPr>
          <w:p>
            <w:pPr>
              <w:spacing w:after="0" w:line="240" w:lineRule="exact"/>
              <w:jc w:val="center"/>
              <w:rPr>
                <w:rFonts w:ascii="Times New Roman" w:hAnsi="Times New Roman" w:eastAsia="黑体"/>
                <w:bCs/>
                <w:sz w:val="24"/>
                <w:szCs w:val="24"/>
                <w:highlight w:val="none"/>
              </w:rPr>
            </w:pPr>
            <w:r>
              <w:rPr>
                <w:rFonts w:ascii="Times New Roman" w:hAnsi="Times New Roman" w:eastAsia="黑体"/>
                <w:bCs/>
                <w:sz w:val="24"/>
                <w:szCs w:val="24"/>
                <w:highlight w:val="none"/>
              </w:rPr>
              <w:t>主要特征</w:t>
            </w:r>
          </w:p>
        </w:tc>
        <w:tc>
          <w:tcPr>
            <w:tcW w:w="606" w:type="pct"/>
            <w:shd w:val="clear" w:color="auto" w:fill="auto"/>
            <w:vAlign w:val="center"/>
          </w:tcPr>
          <w:p>
            <w:pPr>
              <w:spacing w:after="0" w:line="240" w:lineRule="exact"/>
              <w:jc w:val="center"/>
              <w:rPr>
                <w:rFonts w:ascii="Times New Roman" w:hAnsi="Times New Roman" w:eastAsia="黑体"/>
                <w:bCs/>
                <w:sz w:val="24"/>
                <w:szCs w:val="24"/>
                <w:highlight w:val="none"/>
              </w:rPr>
            </w:pPr>
            <w:r>
              <w:rPr>
                <w:rFonts w:ascii="Times New Roman" w:hAnsi="Times New Roman" w:eastAsia="黑体"/>
                <w:bCs/>
                <w:sz w:val="24"/>
                <w:szCs w:val="24"/>
                <w:highlight w:val="none"/>
              </w:rPr>
              <w:t>语言</w:t>
            </w:r>
          </w:p>
          <w:p>
            <w:pPr>
              <w:spacing w:after="0" w:line="240" w:lineRule="exact"/>
              <w:jc w:val="center"/>
              <w:rPr>
                <w:rFonts w:ascii="Times New Roman" w:hAnsi="Times New Roman" w:eastAsia="黑体"/>
                <w:bCs/>
                <w:sz w:val="24"/>
                <w:szCs w:val="24"/>
                <w:highlight w:val="none"/>
              </w:rPr>
            </w:pPr>
            <w:r>
              <w:rPr>
                <w:rFonts w:ascii="Times New Roman" w:hAnsi="Times New Roman" w:eastAsia="黑体"/>
                <w:bCs/>
                <w:sz w:val="24"/>
                <w:szCs w:val="24"/>
                <w:highlight w:val="none"/>
              </w:rPr>
              <w:t>需求</w:t>
            </w:r>
          </w:p>
        </w:tc>
        <w:tc>
          <w:tcPr>
            <w:tcW w:w="1237" w:type="pct"/>
            <w:shd w:val="clear" w:color="auto" w:fill="auto"/>
            <w:vAlign w:val="center"/>
          </w:tcPr>
          <w:p>
            <w:pPr>
              <w:spacing w:after="0" w:line="240" w:lineRule="exact"/>
              <w:jc w:val="center"/>
              <w:rPr>
                <w:rFonts w:ascii="Times New Roman" w:hAnsi="Times New Roman" w:eastAsia="黑体"/>
                <w:bCs/>
                <w:sz w:val="24"/>
                <w:szCs w:val="24"/>
                <w:highlight w:val="none"/>
              </w:rPr>
            </w:pPr>
            <w:r>
              <w:rPr>
                <w:rFonts w:ascii="Times New Roman" w:hAnsi="Times New Roman" w:eastAsia="黑体"/>
                <w:bCs/>
                <w:sz w:val="24"/>
                <w:szCs w:val="24"/>
                <w:highlight w:val="none"/>
              </w:rPr>
              <w:t>推荐参与方式</w:t>
            </w:r>
          </w:p>
        </w:tc>
        <w:tc>
          <w:tcPr>
            <w:tcW w:w="1197" w:type="pct"/>
            <w:shd w:val="clear" w:color="auto" w:fill="auto"/>
            <w:vAlign w:val="center"/>
          </w:tcPr>
          <w:p>
            <w:pPr>
              <w:spacing w:after="0" w:line="240" w:lineRule="exact"/>
              <w:jc w:val="center"/>
              <w:rPr>
                <w:rFonts w:ascii="Times New Roman" w:hAnsi="Times New Roman" w:eastAsia="黑体"/>
                <w:bCs/>
                <w:sz w:val="24"/>
                <w:szCs w:val="24"/>
                <w:highlight w:val="none"/>
              </w:rPr>
            </w:pPr>
            <w:r>
              <w:rPr>
                <w:rFonts w:ascii="Times New Roman" w:hAnsi="Times New Roman" w:eastAsia="黑体"/>
                <w:bCs/>
                <w:sz w:val="24"/>
                <w:szCs w:val="24"/>
                <w:highlight w:val="none"/>
              </w:rPr>
              <w:t>特殊需求</w:t>
            </w:r>
          </w:p>
        </w:tc>
      </w:tr>
      <w:bookmarkEnd w:id="27"/>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53" w:type="pct"/>
            <w:shd w:val="clear" w:color="auto" w:fill="auto"/>
            <w:vAlign w:val="center"/>
          </w:tcPr>
          <w:p>
            <w:pPr>
              <w:widowControl/>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sz w:val="24"/>
                <w:szCs w:val="24"/>
                <w:highlight w:val="none"/>
              </w:rPr>
              <w:t>老人</w:t>
            </w:r>
          </w:p>
        </w:tc>
        <w:tc>
          <w:tcPr>
            <w:tcW w:w="1207" w:type="pct"/>
            <w:shd w:val="clear" w:color="auto" w:fill="auto"/>
            <w:vAlign w:val="center"/>
          </w:tcPr>
          <w:p>
            <w:pPr>
              <w:widowControl/>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60岁及以上老年人口，患病率较高，自身抵抗力较差</w:t>
            </w:r>
          </w:p>
        </w:tc>
        <w:tc>
          <w:tcPr>
            <w:tcW w:w="606" w:type="pct"/>
            <w:shd w:val="clear" w:color="auto" w:fill="auto"/>
            <w:vAlign w:val="center"/>
          </w:tcPr>
          <w:p>
            <w:pPr>
              <w:widowControl/>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普通话/方言</w:t>
            </w:r>
          </w:p>
        </w:tc>
        <w:tc>
          <w:tcPr>
            <w:tcW w:w="1237" w:type="pct"/>
            <w:shd w:val="clear" w:color="auto" w:fill="auto"/>
            <w:vAlign w:val="center"/>
          </w:tcPr>
          <w:p>
            <w:pPr>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1．社区居民会议</w:t>
            </w:r>
          </w:p>
          <w:p>
            <w:pPr>
              <w:widowControl/>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2．居家养老服务站日常宣传</w:t>
            </w:r>
          </w:p>
        </w:tc>
        <w:tc>
          <w:tcPr>
            <w:tcW w:w="1197" w:type="pct"/>
            <w:shd w:val="clear" w:color="auto" w:fill="auto"/>
            <w:vAlign w:val="center"/>
          </w:tcPr>
          <w:p>
            <w:pPr>
              <w:widowControl/>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日间会议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53" w:type="pct"/>
            <w:shd w:val="clear" w:color="auto" w:fill="auto"/>
            <w:vAlign w:val="center"/>
          </w:tcPr>
          <w:p>
            <w:pPr>
              <w:widowControl/>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妇女</w:t>
            </w:r>
          </w:p>
        </w:tc>
        <w:tc>
          <w:tcPr>
            <w:tcW w:w="1207" w:type="pct"/>
            <w:shd w:val="clear" w:color="auto" w:fill="auto"/>
            <w:vAlign w:val="center"/>
          </w:tcPr>
          <w:p>
            <w:pPr>
              <w:widowControl/>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多以家庭为主，家庭健康教育主要影响者，身体素质整体较为薄弱，</w:t>
            </w:r>
          </w:p>
        </w:tc>
        <w:tc>
          <w:tcPr>
            <w:tcW w:w="606" w:type="pct"/>
            <w:shd w:val="clear" w:color="auto" w:fill="auto"/>
            <w:vAlign w:val="center"/>
          </w:tcPr>
          <w:p>
            <w:pPr>
              <w:widowControl/>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普通话/方言</w:t>
            </w:r>
          </w:p>
        </w:tc>
        <w:tc>
          <w:tcPr>
            <w:tcW w:w="1237" w:type="pct"/>
            <w:shd w:val="clear" w:color="auto" w:fill="auto"/>
            <w:vAlign w:val="center"/>
          </w:tcPr>
          <w:p>
            <w:pPr>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1．社区居民会议</w:t>
            </w:r>
          </w:p>
          <w:p>
            <w:pPr>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2．入户访谈</w:t>
            </w:r>
          </w:p>
        </w:tc>
        <w:tc>
          <w:tcPr>
            <w:tcW w:w="1197" w:type="pct"/>
            <w:shd w:val="clear" w:color="auto" w:fill="auto"/>
            <w:vAlign w:val="center"/>
          </w:tcPr>
          <w:p>
            <w:pPr>
              <w:widowControl/>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日间会议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53" w:type="pct"/>
            <w:shd w:val="clear" w:color="auto" w:fill="auto"/>
            <w:vAlign w:val="center"/>
          </w:tcPr>
          <w:p>
            <w:pPr>
              <w:widowControl/>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sz w:val="24"/>
                <w:szCs w:val="24"/>
                <w:highlight w:val="none"/>
              </w:rPr>
              <w:t>留守儿童</w:t>
            </w:r>
          </w:p>
        </w:tc>
        <w:tc>
          <w:tcPr>
            <w:tcW w:w="1207" w:type="pct"/>
            <w:shd w:val="clear" w:color="auto" w:fill="auto"/>
            <w:vAlign w:val="center"/>
          </w:tcPr>
          <w:p>
            <w:pPr>
              <w:widowControl/>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身体抵抗力较差，周边传染源较多，防护意识薄弱，经济负担能力较差</w:t>
            </w:r>
          </w:p>
        </w:tc>
        <w:tc>
          <w:tcPr>
            <w:tcW w:w="606" w:type="pct"/>
            <w:shd w:val="clear" w:color="auto" w:fill="auto"/>
            <w:vAlign w:val="center"/>
          </w:tcPr>
          <w:p>
            <w:pPr>
              <w:widowControl/>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普通话/方言</w:t>
            </w:r>
          </w:p>
        </w:tc>
        <w:tc>
          <w:tcPr>
            <w:tcW w:w="1237" w:type="pct"/>
            <w:shd w:val="clear" w:color="auto" w:fill="auto"/>
            <w:vAlign w:val="center"/>
          </w:tcPr>
          <w:p>
            <w:pPr>
              <w:widowControl/>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1．关键信息人访谈</w:t>
            </w:r>
          </w:p>
          <w:p>
            <w:pPr>
              <w:widowControl/>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2．焦点小组座谈</w:t>
            </w:r>
          </w:p>
          <w:p>
            <w:pPr>
              <w:widowControl/>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3．入户访谈</w:t>
            </w:r>
          </w:p>
        </w:tc>
        <w:tc>
          <w:tcPr>
            <w:tcW w:w="1197" w:type="pct"/>
            <w:shd w:val="clear" w:color="auto" w:fill="auto"/>
            <w:vAlign w:val="center"/>
          </w:tcPr>
          <w:p>
            <w:pPr>
              <w:widowControl/>
              <w:spacing w:after="0" w:line="300" w:lineRule="exac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w:t>
            </w:r>
            <w:r>
              <w:rPr>
                <w:rFonts w:ascii="Times New Roman" w:hAnsi="Times New Roman" w:eastAsia="仿宋_GB2312"/>
                <w:sz w:val="24"/>
                <w:szCs w:val="24"/>
                <w:highlight w:val="none"/>
              </w:rPr>
              <w:t>．加强与监护人的联系</w:t>
            </w:r>
          </w:p>
          <w:p>
            <w:pPr>
              <w:widowControl/>
              <w:spacing w:after="0" w:line="300" w:lineRule="exac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2</w:t>
            </w:r>
            <w:r>
              <w:rPr>
                <w:rFonts w:ascii="Times New Roman" w:hAnsi="Times New Roman" w:eastAsia="仿宋_GB2312"/>
                <w:sz w:val="24"/>
                <w:szCs w:val="24"/>
                <w:highlight w:val="none"/>
              </w:rPr>
              <w:t>．加强与当地学校的合作</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53" w:type="pct"/>
            <w:shd w:val="clear" w:color="auto" w:fill="auto"/>
            <w:vAlign w:val="center"/>
          </w:tcPr>
          <w:p>
            <w:pPr>
              <w:widowControl/>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残疾人及传染病</w:t>
            </w:r>
          </w:p>
          <w:p>
            <w:pPr>
              <w:widowControl/>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sz w:val="24"/>
                <w:szCs w:val="24"/>
                <w:highlight w:val="none"/>
              </w:rPr>
              <w:t>患者等</w:t>
            </w:r>
          </w:p>
        </w:tc>
        <w:tc>
          <w:tcPr>
            <w:tcW w:w="1207" w:type="pct"/>
            <w:shd w:val="clear" w:color="auto" w:fill="auto"/>
            <w:vAlign w:val="center"/>
          </w:tcPr>
          <w:p>
            <w:pPr>
              <w:widowControl/>
              <w:spacing w:after="0" w:line="300" w:lineRule="exac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免疫力低下人群、对药物依赖较大，就医活动存在一定困难；</w:t>
            </w:r>
          </w:p>
        </w:tc>
        <w:tc>
          <w:tcPr>
            <w:tcW w:w="606" w:type="pct"/>
            <w:shd w:val="clear" w:color="auto" w:fill="auto"/>
            <w:vAlign w:val="center"/>
          </w:tcPr>
          <w:p>
            <w:pPr>
              <w:widowControl/>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普通话/方言</w:t>
            </w:r>
          </w:p>
        </w:tc>
        <w:tc>
          <w:tcPr>
            <w:tcW w:w="1237" w:type="pct"/>
            <w:shd w:val="clear" w:color="auto" w:fill="auto"/>
            <w:vAlign w:val="center"/>
          </w:tcPr>
          <w:p>
            <w:pPr>
              <w:widowControl/>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1．座谈会</w:t>
            </w:r>
          </w:p>
          <w:p>
            <w:pPr>
              <w:widowControl/>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2．关键信息人访谈</w:t>
            </w:r>
          </w:p>
        </w:tc>
        <w:tc>
          <w:tcPr>
            <w:tcW w:w="1197" w:type="pct"/>
            <w:shd w:val="clear" w:color="auto" w:fill="auto"/>
            <w:vAlign w:val="center"/>
          </w:tcPr>
          <w:p>
            <w:pPr>
              <w:widowControl/>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注重受访者和被访者的健康安全，尽量避免敏感性问题，保障患者隐私</w:t>
            </w:r>
          </w:p>
        </w:tc>
      </w:tr>
      <w:bookmarkEnd w:id="26"/>
    </w:tbl>
    <w:p>
      <w:pPr>
        <w:spacing w:before="93" w:beforeLines="30"/>
        <w:rPr>
          <w:rFonts w:ascii="Times New Roman" w:hAnsi="Times New Roman" w:eastAsia="宋体"/>
          <w:kern w:val="0"/>
          <w:sz w:val="24"/>
          <w:szCs w:val="24"/>
          <w:highlight w:val="none"/>
        </w:rPr>
      </w:pPr>
      <w:bookmarkStart w:id="28" w:name="_Toc57410477"/>
      <w:r>
        <w:rPr>
          <w:rFonts w:ascii="Times New Roman" w:hAnsi="黑体" w:eastAsia="黑体"/>
          <w:kern w:val="0"/>
          <w:sz w:val="24"/>
          <w:szCs w:val="24"/>
          <w:highlight w:val="none"/>
        </w:rPr>
        <w:t>来源：</w:t>
      </w:r>
      <w:r>
        <w:rPr>
          <w:rFonts w:ascii="Times New Roman" w:hAnsi="Times New Roman" w:eastAsia="仿宋_GB2312"/>
          <w:kern w:val="0"/>
          <w:sz w:val="24"/>
          <w:szCs w:val="24"/>
          <w:highlight w:val="none"/>
        </w:rPr>
        <w:t>项目环境和社会影响调查，相关部门访谈和咨询</w:t>
      </w:r>
    </w:p>
    <w:p>
      <w:pPr>
        <w:pStyle w:val="3"/>
        <w:adjustRightInd w:val="0"/>
        <w:snapToGrid w:val="0"/>
        <w:spacing w:before="312" w:beforeLines="100" w:after="0" w:line="360" w:lineRule="auto"/>
        <w:ind w:left="0" w:firstLine="0"/>
        <w:jc w:val="both"/>
        <w:rPr>
          <w:rFonts w:ascii="Times New Roman" w:hAnsi="Times New Roman" w:eastAsia="黑体" w:cs="Times New Roman"/>
          <w:b w:val="0"/>
          <w:bCs w:val="0"/>
          <w:sz w:val="32"/>
          <w:szCs w:val="32"/>
          <w:highlight w:val="none"/>
        </w:rPr>
      </w:pPr>
      <w:bookmarkStart w:id="29" w:name="_Toc326431200"/>
      <w:r>
        <w:rPr>
          <w:rFonts w:ascii="Times New Roman" w:hAnsi="Times New Roman" w:eastAsia="黑体" w:cs="Times New Roman"/>
          <w:b w:val="0"/>
          <w:bCs w:val="0"/>
          <w:sz w:val="32"/>
          <w:szCs w:val="32"/>
          <w:highlight w:val="none"/>
        </w:rPr>
        <w:t>利益相关方磋商计划</w:t>
      </w:r>
      <w:bookmarkEnd w:id="28"/>
      <w:bookmarkEnd w:id="29"/>
    </w:p>
    <w:p>
      <w:pPr>
        <w:pStyle w:val="4"/>
        <w:adjustRightInd w:val="0"/>
        <w:snapToGrid w:val="0"/>
        <w:spacing w:before="0" w:after="0" w:line="360" w:lineRule="auto"/>
        <w:ind w:left="0" w:firstLine="0"/>
        <w:rPr>
          <w:rFonts w:ascii="Times New Roman" w:hAnsi="Times New Roman" w:eastAsia="楷体_GB2312" w:cs="Times New Roman"/>
          <w:bCs w:val="0"/>
          <w:highlight w:val="none"/>
        </w:rPr>
      </w:pPr>
      <w:bookmarkStart w:id="30" w:name="_Toc57410478"/>
      <w:bookmarkStart w:id="31" w:name="_Toc1123286928"/>
      <w:r>
        <w:rPr>
          <w:rFonts w:ascii="Times New Roman" w:hAnsi="Times New Roman" w:eastAsia="楷体_GB2312" w:cs="Times New Roman"/>
          <w:bCs w:val="0"/>
          <w:highlight w:val="none"/>
        </w:rPr>
        <w:t xml:space="preserve"> 利益相关方磋商计划的目的和时间</w:t>
      </w:r>
      <w:bookmarkEnd w:id="30"/>
      <w:bookmarkEnd w:id="31"/>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利益相关方参与计划是基于利益相关方分析，特别是利益相关方参与需求分析而制定的。根据</w:t>
      </w:r>
      <w:r>
        <w:rPr>
          <w:rFonts w:hint="eastAsia" w:ascii="Times New Roman" w:hAnsi="Times New Roman" w:eastAsia="仿宋_GB2312"/>
          <w:kern w:val="0"/>
          <w:sz w:val="32"/>
          <w:szCs w:val="32"/>
          <w:highlight w:val="none"/>
          <w:lang w:eastAsia="zh-CN"/>
        </w:rPr>
        <w:t>对</w:t>
      </w:r>
      <w:r>
        <w:rPr>
          <w:rFonts w:ascii="Times New Roman" w:hAnsi="Times New Roman" w:eastAsia="仿宋_GB2312"/>
          <w:kern w:val="0"/>
          <w:sz w:val="32"/>
          <w:szCs w:val="32"/>
          <w:highlight w:val="none"/>
        </w:rPr>
        <w:t>利益相关方在项目准备、实施和运营三个阶段</w:t>
      </w:r>
      <w:r>
        <w:rPr>
          <w:rFonts w:hint="eastAsia" w:ascii="Times New Roman" w:hAnsi="Times New Roman" w:eastAsia="仿宋_GB2312"/>
          <w:kern w:val="0"/>
          <w:sz w:val="32"/>
          <w:szCs w:val="32"/>
          <w:highlight w:val="none"/>
          <w:lang w:eastAsia="zh-CN"/>
        </w:rPr>
        <w:t>的参与需求分析，</w:t>
      </w:r>
      <w:r>
        <w:rPr>
          <w:rFonts w:ascii="Times New Roman" w:hAnsi="Times New Roman" w:eastAsia="仿宋_GB2312"/>
          <w:kern w:val="0"/>
          <w:sz w:val="32"/>
          <w:szCs w:val="32"/>
          <w:highlight w:val="none"/>
        </w:rPr>
        <w:t>在实施和运行期，各利益相关方参与需求大体一致。</w:t>
      </w:r>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项目利益相关磋商计划的目的是：</w:t>
      </w:r>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1</w:t>
      </w:r>
      <w:r>
        <w:rPr>
          <w:rFonts w:ascii="Times New Roman" w:hAnsi="Times New Roman" w:eastAsia="仿宋_GB2312"/>
          <w:sz w:val="32"/>
          <w:szCs w:val="32"/>
          <w:highlight w:val="none"/>
        </w:rPr>
        <w:t>．</w:t>
      </w:r>
      <w:r>
        <w:rPr>
          <w:rFonts w:ascii="Times New Roman" w:hAnsi="Times New Roman" w:eastAsia="仿宋_GB2312"/>
          <w:kern w:val="0"/>
          <w:sz w:val="32"/>
          <w:szCs w:val="32"/>
          <w:highlight w:val="none"/>
        </w:rPr>
        <w:t>定期与主要利益相关者机构协商，以告知项目的的目的、设计、内容和活动；</w:t>
      </w:r>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2</w:t>
      </w:r>
      <w:r>
        <w:rPr>
          <w:rFonts w:ascii="Times New Roman" w:hAnsi="Times New Roman" w:eastAsia="仿宋_GB2312"/>
          <w:sz w:val="32"/>
          <w:szCs w:val="32"/>
          <w:highlight w:val="none"/>
        </w:rPr>
        <w:t>．</w:t>
      </w:r>
      <w:r>
        <w:rPr>
          <w:rFonts w:ascii="Times New Roman" w:hAnsi="Times New Roman" w:eastAsia="仿宋_GB2312"/>
          <w:kern w:val="0"/>
          <w:sz w:val="32"/>
          <w:szCs w:val="32"/>
          <w:highlight w:val="none"/>
        </w:rPr>
        <w:t>透明沟通交流机制，以确保利益相关者的需求和要求得到满足。</w:t>
      </w:r>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在项目准备阶段（或可研阶段），项目办对本项目进行了</w:t>
      </w:r>
      <w:r>
        <w:rPr>
          <w:rFonts w:hint="eastAsia" w:ascii="Times New Roman" w:hAnsi="Times New Roman" w:eastAsia="仿宋_GB2312"/>
          <w:kern w:val="0"/>
          <w:sz w:val="32"/>
          <w:szCs w:val="32"/>
          <w:highlight w:val="none"/>
        </w:rPr>
        <w:t>环境和</w:t>
      </w:r>
      <w:r>
        <w:rPr>
          <w:rFonts w:ascii="Times New Roman" w:hAnsi="Times New Roman" w:eastAsia="仿宋_GB2312"/>
          <w:kern w:val="0"/>
          <w:sz w:val="32"/>
          <w:szCs w:val="32"/>
          <w:highlight w:val="none"/>
        </w:rPr>
        <w:t>社会影响评价调查，开展了广泛的公众咨询与参与，就项目设计听取利益相关方的意见并进一步识别了各子项目的利益相关方；利益相关方反馈意见已在项目设计中予以考虑。</w:t>
      </w:r>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在项目实施及运营期间，项目办将在政府网站上公布项目进展信息、环境和社会方面的绩效信息等，以供公众查阅；同时，在项目区范围内的街道举行利益相关者磋商活动，与公众沟通项目目标、项目实施信息、项目环境和社会影响及所采取的措施等相关事宜；就项目进展和成效等发布相关信息，回答公众关切和提问。</w:t>
      </w:r>
    </w:p>
    <w:p>
      <w:pPr>
        <w:pStyle w:val="4"/>
        <w:adjustRightInd w:val="0"/>
        <w:snapToGrid w:val="0"/>
        <w:spacing w:before="0" w:after="0" w:line="360" w:lineRule="auto"/>
        <w:ind w:left="0" w:firstLine="0"/>
        <w:rPr>
          <w:rFonts w:ascii="Times New Roman" w:hAnsi="Times New Roman" w:eastAsia="楷体_GB2312" w:cs="Times New Roman"/>
          <w:bCs w:val="0"/>
          <w:highlight w:val="none"/>
        </w:rPr>
      </w:pPr>
      <w:bookmarkStart w:id="32" w:name="_Toc2022590134"/>
      <w:bookmarkStart w:id="33" w:name="_Toc57410479"/>
      <w:r>
        <w:rPr>
          <w:rFonts w:ascii="Times New Roman" w:hAnsi="Times New Roman" w:eastAsia="楷体_GB2312" w:cs="Times New Roman"/>
          <w:bCs w:val="0"/>
          <w:highlight w:val="none"/>
        </w:rPr>
        <w:t xml:space="preserve"> 拟议的信息披露策略</w:t>
      </w:r>
      <w:bookmarkEnd w:id="32"/>
      <w:bookmarkEnd w:id="33"/>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不同项目阶段所需披露的信息、信息披露的办法需要因地制宜的考虑。项目需在适当的地点通过受影响方和其他利益相关者可以理解的语言，及时发布项目环境和社会方面的信息，从而利益相关者可以对项目设计和实施提出丰富的意见。信息披露的方式主要包括：</w:t>
      </w:r>
    </w:p>
    <w:p>
      <w:pPr>
        <w:widowControl/>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1</w:t>
      </w:r>
      <w:r>
        <w:rPr>
          <w:rFonts w:ascii="Times New Roman" w:hAnsi="Times New Roman" w:eastAsia="仿宋_GB2312"/>
          <w:highlight w:val="none"/>
        </w:rPr>
        <w:t>．</w:t>
      </w:r>
      <w:r>
        <w:rPr>
          <w:rFonts w:ascii="Times New Roman" w:hAnsi="Times New Roman" w:eastAsia="仿宋_GB2312"/>
          <w:sz w:val="32"/>
          <w:szCs w:val="32"/>
          <w:highlight w:val="none"/>
        </w:rPr>
        <w:t>政府网站</w:t>
      </w:r>
    </w:p>
    <w:p>
      <w:pPr>
        <w:widowControl/>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w:t>
      </w:r>
      <w:r>
        <w:rPr>
          <w:rFonts w:ascii="Times New Roman" w:hAnsi="Times New Roman" w:eastAsia="仿宋_GB2312"/>
          <w:highlight w:val="none"/>
        </w:rPr>
        <w:t>．</w:t>
      </w:r>
      <w:r>
        <w:rPr>
          <w:rFonts w:ascii="Times New Roman" w:hAnsi="Times New Roman" w:eastAsia="仿宋_GB2312"/>
          <w:sz w:val="32"/>
          <w:szCs w:val="32"/>
          <w:highlight w:val="none"/>
        </w:rPr>
        <w:t>街道宣传栏</w:t>
      </w:r>
    </w:p>
    <w:p>
      <w:pPr>
        <w:widowControl/>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w:t>
      </w:r>
      <w:r>
        <w:rPr>
          <w:rFonts w:ascii="Times New Roman" w:hAnsi="Times New Roman" w:eastAsia="仿宋_GB2312"/>
          <w:highlight w:val="none"/>
        </w:rPr>
        <w:t>．</w:t>
      </w:r>
      <w:r>
        <w:rPr>
          <w:rFonts w:ascii="Times New Roman" w:hAnsi="Times New Roman" w:eastAsia="仿宋_GB2312"/>
          <w:sz w:val="32"/>
          <w:szCs w:val="32"/>
          <w:highlight w:val="none"/>
        </w:rPr>
        <w:t>村委会/社区公告栏</w:t>
      </w:r>
    </w:p>
    <w:p>
      <w:pPr>
        <w:pStyle w:val="4"/>
        <w:adjustRightInd w:val="0"/>
        <w:snapToGrid w:val="0"/>
        <w:spacing w:before="0" w:after="0" w:line="360" w:lineRule="auto"/>
        <w:ind w:left="0" w:firstLine="0"/>
        <w:rPr>
          <w:rFonts w:ascii="Times New Roman" w:hAnsi="Times New Roman" w:eastAsia="楷体_GB2312" w:cs="Times New Roman"/>
          <w:bCs w:val="0"/>
          <w:highlight w:val="none"/>
        </w:rPr>
      </w:pPr>
      <w:bookmarkStart w:id="34" w:name="_Toc638510933"/>
      <w:bookmarkStart w:id="35" w:name="_Toc57415927"/>
      <w:r>
        <w:rPr>
          <w:rFonts w:ascii="Times New Roman" w:hAnsi="Times New Roman" w:eastAsia="楷体_GB2312" w:cs="Times New Roman"/>
          <w:bCs w:val="0"/>
          <w:highlight w:val="none"/>
        </w:rPr>
        <w:t xml:space="preserve"> 拟议的磋商策略</w:t>
      </w:r>
      <w:bookmarkEnd w:id="34"/>
      <w:bookmarkEnd w:id="35"/>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利益相关者的咨询是一个双向</w:t>
      </w:r>
      <w:r>
        <w:rPr>
          <w:rFonts w:hint="eastAsia" w:ascii="Times New Roman" w:hAnsi="Times New Roman" w:eastAsia="仿宋_GB2312"/>
          <w:sz w:val="32"/>
          <w:szCs w:val="32"/>
          <w:highlight w:val="none"/>
        </w:rPr>
        <w:t>动态</w:t>
      </w:r>
      <w:r>
        <w:rPr>
          <w:rFonts w:ascii="Times New Roman" w:hAnsi="Times New Roman" w:eastAsia="仿宋_GB2312"/>
          <w:sz w:val="32"/>
          <w:szCs w:val="32"/>
          <w:highlight w:val="none"/>
        </w:rPr>
        <w:t>的过程，将在整个项目周期内进行。利益相关者参与的总体原则为：</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1．从项目规划过程的早期开始，应收集有关拟建项目的初期意见并融入项目设计；</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2．鼓励利益相关者进行反馈，特别是以此作为项目设计和让利益相关者参与识别和缓解环境和社会风险与影响的一种方式磋商；</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3．考虑并回应反馈，以支持受项目影响的各方进行积极的参与。</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在实施利益相关者参与的过程中，项目办将采取以下策略：</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1．尽早开始，并贯穿整个项目周期</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2．各政府相关部门相互协助</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3．及时公开项目及环境社会信息</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4．与社区建立合作关系</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5．对利益相关者代表和关键信息人访谈</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6．及时妥善处理抱怨申诉</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7．充分利用调查、民意测验及问卷</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8．使用公众会议、研讨会和/或开展专门群体的焦点小组讨论</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9．参与式方法</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10．其他传统咨询和决策机制</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本项目利益相关者的咨询包括项目的准备阶段、项目实施阶段及项目运营阶段。拟定的利益相关者参与计划详见表3-1。</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所有的公众咨询和参与都将进行记录。表3-2提供了公众参与记录的模板。</w:t>
      </w:r>
    </w:p>
    <w:p>
      <w:pPr>
        <w:widowControl/>
        <w:ind w:firstLine="200"/>
        <w:rPr>
          <w:rFonts w:ascii="Times New Roman" w:hAnsi="Times New Roman" w:eastAsia="仿宋_GB231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仿宋_GB2312"/>
          <w:sz w:val="24"/>
          <w:szCs w:val="24"/>
          <w:highlight w:val="none"/>
        </w:rPr>
        <w:br w:type="page"/>
      </w:r>
    </w:p>
    <w:p>
      <w:pPr>
        <w:pStyle w:val="12"/>
        <w:spacing w:after="156" w:afterLines="50" w:line="240" w:lineRule="auto"/>
        <w:jc w:val="center"/>
        <w:rPr>
          <w:rFonts w:ascii="Times New Roman" w:hAnsi="Times New Roman" w:cs="Times New Roman"/>
          <w:kern w:val="0"/>
          <w:sz w:val="28"/>
          <w:szCs w:val="28"/>
          <w:highlight w:val="none"/>
        </w:rPr>
      </w:pPr>
      <w:bookmarkStart w:id="36" w:name="_Toc65281026"/>
      <w:bookmarkStart w:id="37" w:name="_Toc65281252"/>
      <w:r>
        <w:rPr>
          <w:rFonts w:ascii="Times New Roman" w:hAnsi="黑体" w:cs="Times New Roman"/>
          <w:kern w:val="0"/>
          <w:sz w:val="28"/>
          <w:szCs w:val="28"/>
          <w:highlight w:val="none"/>
        </w:rPr>
        <w:t>表</w:t>
      </w:r>
      <w:r>
        <w:rPr>
          <w:rFonts w:ascii="Times New Roman" w:hAnsi="Times New Roman" w:cs="Times New Roman"/>
          <w:kern w:val="0"/>
          <w:sz w:val="28"/>
          <w:szCs w:val="28"/>
          <w:highlight w:val="none"/>
        </w:rPr>
        <w:t xml:space="preserve">3-1 </w:t>
      </w:r>
      <w:r>
        <w:rPr>
          <w:rFonts w:ascii="Times New Roman" w:hAnsi="黑体" w:cs="Times New Roman"/>
          <w:kern w:val="0"/>
          <w:sz w:val="28"/>
          <w:szCs w:val="28"/>
          <w:highlight w:val="none"/>
        </w:rPr>
        <w:t>拟定公众咨询的方式</w:t>
      </w:r>
      <w:bookmarkEnd w:id="36"/>
      <w:bookmarkEnd w:id="37"/>
    </w:p>
    <w:tbl>
      <w:tblPr>
        <w:tblStyle w:val="26"/>
        <w:tblW w:w="14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2779"/>
        <w:gridCol w:w="2607"/>
        <w:gridCol w:w="2815"/>
        <w:gridCol w:w="2288"/>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blHeader/>
          <w:jc w:val="center"/>
        </w:trPr>
        <w:tc>
          <w:tcPr>
            <w:tcW w:w="1555" w:type="dxa"/>
            <w:tcBorders>
              <w:top w:val="single" w:color="000000" w:sz="12" w:space="0"/>
              <w:left w:val="nil"/>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highlight w:val="none"/>
              </w:rPr>
            </w:pPr>
            <w:r>
              <w:rPr>
                <w:rFonts w:ascii="Times New Roman" w:hAnsi="黑体" w:eastAsia="黑体"/>
                <w:sz w:val="24"/>
                <w:szCs w:val="24"/>
                <w:highlight w:val="none"/>
              </w:rPr>
              <w:t>项目阶段</w:t>
            </w:r>
          </w:p>
        </w:tc>
        <w:tc>
          <w:tcPr>
            <w:tcW w:w="2779" w:type="dxa"/>
            <w:tcBorders>
              <w:top w:val="single" w:color="000000" w:sz="12" w:space="0"/>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highlight w:val="none"/>
                <w:lang w:eastAsia="zh-TW"/>
              </w:rPr>
            </w:pPr>
            <w:r>
              <w:rPr>
                <w:rFonts w:ascii="Times New Roman" w:hAnsi="黑体" w:eastAsia="黑体"/>
                <w:sz w:val="24"/>
                <w:szCs w:val="24"/>
                <w:highlight w:val="none"/>
              </w:rPr>
              <w:t>磋商议题</w:t>
            </w:r>
          </w:p>
        </w:tc>
        <w:tc>
          <w:tcPr>
            <w:tcW w:w="2607" w:type="dxa"/>
            <w:tcBorders>
              <w:top w:val="single" w:color="000000" w:sz="12" w:space="0"/>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highlight w:val="none"/>
              </w:rPr>
            </w:pPr>
            <w:r>
              <w:rPr>
                <w:rFonts w:ascii="Times New Roman" w:hAnsi="黑体" w:eastAsia="黑体"/>
                <w:sz w:val="24"/>
                <w:szCs w:val="24"/>
                <w:highlight w:val="none"/>
              </w:rPr>
              <w:t>采用方法</w:t>
            </w:r>
          </w:p>
        </w:tc>
        <w:tc>
          <w:tcPr>
            <w:tcW w:w="2815" w:type="dxa"/>
            <w:tcBorders>
              <w:top w:val="single" w:color="000000" w:sz="12" w:space="0"/>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highlight w:val="none"/>
              </w:rPr>
            </w:pPr>
            <w:r>
              <w:rPr>
                <w:rFonts w:ascii="Times New Roman" w:hAnsi="黑体" w:eastAsia="黑体"/>
                <w:sz w:val="24"/>
                <w:szCs w:val="24"/>
                <w:highlight w:val="none"/>
              </w:rPr>
              <w:t>地点</w:t>
            </w:r>
            <w:r>
              <w:rPr>
                <w:rFonts w:ascii="Times New Roman" w:hAnsi="Times New Roman" w:eastAsia="黑体"/>
                <w:sz w:val="24"/>
                <w:szCs w:val="24"/>
                <w:highlight w:val="none"/>
              </w:rPr>
              <w:t>/</w:t>
            </w:r>
            <w:r>
              <w:rPr>
                <w:rFonts w:ascii="Times New Roman" w:hAnsi="黑体" w:eastAsia="黑体"/>
                <w:sz w:val="24"/>
                <w:szCs w:val="24"/>
                <w:highlight w:val="none"/>
              </w:rPr>
              <w:t>日期</w:t>
            </w:r>
          </w:p>
        </w:tc>
        <w:tc>
          <w:tcPr>
            <w:tcW w:w="2288" w:type="dxa"/>
            <w:tcBorders>
              <w:top w:val="single" w:color="000000" w:sz="12" w:space="0"/>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highlight w:val="none"/>
              </w:rPr>
            </w:pPr>
            <w:r>
              <w:rPr>
                <w:rFonts w:ascii="Times New Roman" w:hAnsi="黑体" w:eastAsia="黑体"/>
                <w:sz w:val="24"/>
                <w:szCs w:val="24"/>
                <w:highlight w:val="none"/>
              </w:rPr>
              <w:t>目标利益相关者</w:t>
            </w:r>
          </w:p>
        </w:tc>
        <w:tc>
          <w:tcPr>
            <w:tcW w:w="2253" w:type="dxa"/>
            <w:tcBorders>
              <w:top w:val="single" w:color="000000" w:sz="12" w:space="0"/>
              <w:right w:val="nil"/>
            </w:tcBorders>
            <w:shd w:val="clear" w:color="auto" w:fill="F1F1F1" w:themeFill="background1" w:themeFillShade="F2"/>
            <w:vAlign w:val="center"/>
          </w:tcPr>
          <w:p>
            <w:pPr>
              <w:snapToGrid w:val="0"/>
              <w:spacing w:after="0" w:line="300" w:lineRule="exact"/>
              <w:jc w:val="center"/>
              <w:rPr>
                <w:rFonts w:ascii="Times New Roman" w:hAnsi="Times New Roman" w:eastAsia="黑体"/>
                <w:sz w:val="24"/>
                <w:szCs w:val="24"/>
                <w:highlight w:val="none"/>
              </w:rPr>
            </w:pPr>
            <w:r>
              <w:rPr>
                <w:rFonts w:ascii="Times New Roman" w:hAnsi="黑体" w:eastAsia="黑体"/>
                <w:sz w:val="24"/>
                <w:szCs w:val="24"/>
                <w:highlight w:val="none"/>
              </w:rPr>
              <w:t>组织者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tcBorders>
              <w:left w:val="nil"/>
            </w:tcBorders>
            <w:vAlign w:val="center"/>
          </w:tcPr>
          <w:p>
            <w:pPr>
              <w:snapToGrid w:val="0"/>
              <w:spacing w:after="0" w:line="300" w:lineRule="exact"/>
              <w:jc w:val="center"/>
              <w:rPr>
                <w:rFonts w:ascii="Times New Roman" w:hAnsi="Times New Roman" w:eastAsia="仿宋"/>
                <w:sz w:val="24"/>
                <w:szCs w:val="24"/>
                <w:highlight w:val="none"/>
              </w:rPr>
            </w:pPr>
            <w:r>
              <w:rPr>
                <w:rFonts w:ascii="Times New Roman" w:hAnsi="仿宋" w:eastAsia="仿宋"/>
                <w:sz w:val="24"/>
                <w:szCs w:val="24"/>
                <w:highlight w:val="none"/>
              </w:rPr>
              <w:t>准备阶段</w:t>
            </w:r>
          </w:p>
        </w:tc>
        <w:tc>
          <w:tcPr>
            <w:tcW w:w="2779" w:type="dxa"/>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项目内容的明确和分工</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识别潜在的项目利益相关方</w:t>
            </w:r>
          </w:p>
        </w:tc>
        <w:tc>
          <w:tcPr>
            <w:tcW w:w="2607" w:type="dxa"/>
            <w:vAlign w:val="center"/>
          </w:tcPr>
          <w:p>
            <w:pPr>
              <w:snapToGrid w:val="0"/>
              <w:spacing w:after="0" w:line="300" w:lineRule="exact"/>
              <w:jc w:val="left"/>
              <w:rPr>
                <w:rFonts w:ascii="Times New Roman" w:hAnsi="Times New Roman" w:eastAsia="仿宋"/>
                <w:sz w:val="24"/>
                <w:szCs w:val="24"/>
                <w:highlight w:val="none"/>
                <w:lang w:eastAsia="zh-TW"/>
              </w:rPr>
            </w:pPr>
            <w:r>
              <w:rPr>
                <w:rFonts w:ascii="Times New Roman" w:hAnsi="仿宋" w:eastAsia="仿宋"/>
                <w:sz w:val="24"/>
                <w:szCs w:val="24"/>
                <w:highlight w:val="none"/>
                <w:lang w:eastAsia="zh-TW"/>
              </w:rPr>
              <w:t>座谈会</w:t>
            </w:r>
          </w:p>
          <w:p>
            <w:pPr>
              <w:snapToGrid w:val="0"/>
              <w:spacing w:after="0" w:line="300" w:lineRule="exact"/>
              <w:jc w:val="left"/>
              <w:rPr>
                <w:rFonts w:ascii="Times New Roman" w:hAnsi="Times New Roman" w:eastAsia="仿宋"/>
                <w:sz w:val="24"/>
                <w:szCs w:val="24"/>
                <w:highlight w:val="none"/>
                <w:lang w:eastAsia="zh-TW"/>
              </w:rPr>
            </w:pPr>
            <w:r>
              <w:rPr>
                <w:rFonts w:ascii="Times New Roman" w:hAnsi="仿宋" w:eastAsia="仿宋"/>
                <w:sz w:val="24"/>
                <w:szCs w:val="24"/>
                <w:highlight w:val="none"/>
                <w:lang w:eastAsia="zh-TW"/>
              </w:rPr>
              <w:t>研讨会</w:t>
            </w:r>
          </w:p>
        </w:tc>
        <w:tc>
          <w:tcPr>
            <w:tcW w:w="2815" w:type="dxa"/>
            <w:vAlign w:val="center"/>
          </w:tcPr>
          <w:p>
            <w:pPr>
              <w:snapToGrid w:val="0"/>
              <w:spacing w:after="0" w:line="300" w:lineRule="exact"/>
              <w:jc w:val="left"/>
              <w:rPr>
                <w:rFonts w:ascii="Times New Roman" w:hAnsi="Times New Roman" w:eastAsia="仿宋"/>
                <w:sz w:val="24"/>
                <w:szCs w:val="24"/>
                <w:highlight w:val="none"/>
              </w:rPr>
            </w:pPr>
            <w:r>
              <w:rPr>
                <w:rFonts w:hint="eastAsia" w:ascii="Times New Roman" w:hAnsi="仿宋" w:eastAsia="仿宋"/>
                <w:sz w:val="24"/>
                <w:szCs w:val="24"/>
                <w:highlight w:val="none"/>
              </w:rPr>
              <w:t>项目管理办公室</w:t>
            </w:r>
          </w:p>
          <w:p>
            <w:pPr>
              <w:snapToGrid w:val="0"/>
              <w:spacing w:after="0" w:line="300" w:lineRule="exact"/>
              <w:jc w:val="left"/>
              <w:rPr>
                <w:rFonts w:ascii="Times New Roman" w:hAnsi="Times New Roman" w:eastAsia="仿宋"/>
                <w:sz w:val="24"/>
                <w:szCs w:val="24"/>
                <w:highlight w:val="none"/>
              </w:rPr>
            </w:pPr>
            <w:r>
              <w:rPr>
                <w:rFonts w:ascii="Times New Roman" w:hAnsi="Times New Roman" w:eastAsia="仿宋"/>
                <w:sz w:val="24"/>
                <w:szCs w:val="24"/>
                <w:highlight w:val="none"/>
              </w:rPr>
              <w:t>2022</w:t>
            </w:r>
            <w:r>
              <w:rPr>
                <w:rFonts w:ascii="Times New Roman" w:hAnsi="仿宋" w:eastAsia="仿宋"/>
                <w:sz w:val="24"/>
                <w:szCs w:val="24"/>
                <w:highlight w:val="none"/>
              </w:rPr>
              <w:t>年</w:t>
            </w:r>
          </w:p>
        </w:tc>
        <w:tc>
          <w:tcPr>
            <w:tcW w:w="2288" w:type="dxa"/>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项目办</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省市政府部门</w:t>
            </w:r>
          </w:p>
        </w:tc>
        <w:tc>
          <w:tcPr>
            <w:tcW w:w="2253" w:type="dxa"/>
            <w:tcBorders>
              <w:right w:val="nil"/>
            </w:tcBorders>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restart"/>
            <w:tcBorders>
              <w:top w:val="single" w:color="auto" w:sz="4" w:space="0"/>
              <w:left w:val="nil"/>
            </w:tcBorders>
            <w:vAlign w:val="center"/>
          </w:tcPr>
          <w:p>
            <w:pPr>
              <w:snapToGrid w:val="0"/>
              <w:spacing w:after="0" w:line="300" w:lineRule="exact"/>
              <w:jc w:val="center"/>
              <w:rPr>
                <w:rFonts w:ascii="Times New Roman" w:hAnsi="Times New Roman" w:eastAsia="仿宋"/>
                <w:sz w:val="24"/>
                <w:szCs w:val="24"/>
                <w:highlight w:val="none"/>
              </w:rPr>
            </w:pPr>
            <w:r>
              <w:rPr>
                <w:rFonts w:ascii="Times New Roman" w:hAnsi="仿宋" w:eastAsia="仿宋"/>
                <w:sz w:val="24"/>
                <w:szCs w:val="24"/>
                <w:highlight w:val="none"/>
              </w:rPr>
              <w:t>实施阶段</w:t>
            </w:r>
          </w:p>
        </w:tc>
        <w:tc>
          <w:tcPr>
            <w:tcW w:w="2779" w:type="dxa"/>
            <w:tcBorders>
              <w:top w:val="single" w:color="auto" w:sz="4" w:space="0"/>
              <w:bottom w:val="single" w:color="auto" w:sz="4" w:space="0"/>
            </w:tcBorders>
            <w:vAlign w:val="center"/>
          </w:tcPr>
          <w:p>
            <w:pPr>
              <w:spacing w:after="0" w:line="300" w:lineRule="exact"/>
              <w:jc w:val="left"/>
              <w:rPr>
                <w:rFonts w:ascii="Times New Roman" w:hAnsi="Times New Roman" w:eastAsia="仿宋"/>
                <w:sz w:val="24"/>
                <w:szCs w:val="24"/>
                <w:highlight w:val="none"/>
                <w:shd w:val="clear" w:color="auto" w:fill="FFFFFF"/>
              </w:rPr>
            </w:pPr>
            <w:r>
              <w:rPr>
                <w:rFonts w:ascii="Times New Roman" w:hAnsi="仿宋" w:eastAsia="仿宋"/>
                <w:sz w:val="24"/>
                <w:szCs w:val="24"/>
                <w:highlight w:val="none"/>
              </w:rPr>
              <w:t>项目实施过程中可能对不同群体带来的影响</w:t>
            </w:r>
          </w:p>
        </w:tc>
        <w:tc>
          <w:tcPr>
            <w:tcW w:w="2607" w:type="dxa"/>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焦点小组访谈</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关键信息者访谈</w:t>
            </w:r>
          </w:p>
          <w:p>
            <w:pPr>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公众满意度调查</w:t>
            </w:r>
            <w:r>
              <w:rPr>
                <w:rFonts w:ascii="Times New Roman" w:hAnsi="Times New Roman" w:eastAsia="仿宋"/>
                <w:sz w:val="24"/>
                <w:szCs w:val="24"/>
                <w:highlight w:val="none"/>
              </w:rPr>
              <w:t>,</w:t>
            </w:r>
            <w:r>
              <w:rPr>
                <w:rFonts w:ascii="Times New Roman" w:hAnsi="Times New Roman" w:eastAsia="仿宋"/>
                <w:sz w:val="24"/>
                <w:szCs w:val="24"/>
                <w:highlight w:val="none"/>
                <w:lang w:eastAsia="zh-TW"/>
              </w:rPr>
              <w:t>“</w:t>
            </w:r>
            <w:r>
              <w:rPr>
                <w:rFonts w:ascii="Times New Roman" w:hAnsi="Times New Roman" w:eastAsia="仿宋"/>
                <w:sz w:val="24"/>
                <w:szCs w:val="24"/>
                <w:highlight w:val="none"/>
              </w:rPr>
              <w:t>1</w:t>
            </w:r>
            <w:r>
              <w:rPr>
                <w:rFonts w:ascii="Times New Roman" w:hAnsi="Times New Roman" w:eastAsia="仿宋"/>
                <w:sz w:val="24"/>
                <w:szCs w:val="24"/>
                <w:highlight w:val="none"/>
                <w:lang w:eastAsia="zh-TW"/>
              </w:rPr>
              <w:t>2345”“12306”</w:t>
            </w:r>
            <w:r>
              <w:rPr>
                <w:rFonts w:ascii="Times New Roman" w:hAnsi="仿宋" w:eastAsia="仿宋"/>
                <w:sz w:val="24"/>
                <w:szCs w:val="24"/>
                <w:highlight w:val="none"/>
                <w:lang w:eastAsia="zh-TW"/>
              </w:rPr>
              <w:t>热线</w:t>
            </w:r>
          </w:p>
        </w:tc>
        <w:tc>
          <w:tcPr>
            <w:tcW w:w="2815" w:type="dxa"/>
            <w:vAlign w:val="center"/>
          </w:tcPr>
          <w:p>
            <w:pPr>
              <w:snapToGrid w:val="0"/>
              <w:spacing w:after="0" w:line="300" w:lineRule="exact"/>
              <w:jc w:val="left"/>
              <w:rPr>
                <w:rFonts w:ascii="Times New Roman" w:hAnsi="Times New Roman" w:eastAsia="仿宋"/>
                <w:sz w:val="24"/>
                <w:szCs w:val="24"/>
                <w:highlight w:val="none"/>
              </w:rPr>
            </w:pPr>
            <w:r>
              <w:rPr>
                <w:rFonts w:hint="eastAsia" w:ascii="Times New Roman" w:hAnsi="仿宋" w:eastAsia="仿宋"/>
                <w:sz w:val="24"/>
                <w:szCs w:val="24"/>
                <w:highlight w:val="none"/>
              </w:rPr>
              <w:t>项目管理办公室</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每年一次</w:t>
            </w:r>
          </w:p>
        </w:tc>
        <w:tc>
          <w:tcPr>
            <w:tcW w:w="2288" w:type="dxa"/>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项目办</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省市政府部门</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行业机构</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社区居民</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咨询设计单位</w:t>
            </w:r>
          </w:p>
        </w:tc>
        <w:tc>
          <w:tcPr>
            <w:tcW w:w="2253" w:type="dxa"/>
            <w:tcBorders>
              <w:right w:val="nil"/>
            </w:tcBorders>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项目办</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tcBorders>
              <w:left w:val="nil"/>
            </w:tcBorders>
            <w:vAlign w:val="center"/>
          </w:tcPr>
          <w:p>
            <w:pPr>
              <w:snapToGrid w:val="0"/>
              <w:spacing w:after="0" w:line="300" w:lineRule="exact"/>
              <w:jc w:val="left"/>
              <w:rPr>
                <w:rFonts w:ascii="Times New Roman" w:hAnsi="Times New Roman" w:eastAsia="仿宋"/>
                <w:sz w:val="24"/>
                <w:szCs w:val="24"/>
                <w:highlight w:val="none"/>
              </w:rPr>
            </w:pPr>
          </w:p>
        </w:tc>
        <w:tc>
          <w:tcPr>
            <w:tcW w:w="2779" w:type="dxa"/>
            <w:vAlign w:val="center"/>
          </w:tcPr>
          <w:p>
            <w:pPr>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shd w:val="clear" w:color="auto" w:fill="FFFFFF"/>
              </w:rPr>
              <w:t>不同利益相关者对项目实施过程中出现的问题进行反馈</w:t>
            </w:r>
          </w:p>
        </w:tc>
        <w:tc>
          <w:tcPr>
            <w:tcW w:w="2607" w:type="dxa"/>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焦点小组访谈</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关键信息者访谈</w:t>
            </w:r>
          </w:p>
          <w:p>
            <w:pPr>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公众满意度调查</w:t>
            </w:r>
            <w:r>
              <w:rPr>
                <w:rFonts w:ascii="Times New Roman" w:hAnsi="Times New Roman" w:eastAsia="仿宋"/>
                <w:sz w:val="24"/>
                <w:szCs w:val="24"/>
                <w:highlight w:val="none"/>
              </w:rPr>
              <w:t>,</w:t>
            </w:r>
            <w:r>
              <w:rPr>
                <w:rFonts w:ascii="Times New Roman" w:hAnsi="Times New Roman" w:eastAsia="仿宋"/>
                <w:sz w:val="24"/>
                <w:szCs w:val="24"/>
                <w:highlight w:val="none"/>
                <w:lang w:eastAsia="zh-TW"/>
              </w:rPr>
              <w:t>“12345”“12306”</w:t>
            </w:r>
            <w:r>
              <w:rPr>
                <w:rFonts w:ascii="Times New Roman" w:hAnsi="仿宋" w:eastAsia="仿宋"/>
                <w:sz w:val="24"/>
                <w:szCs w:val="24"/>
                <w:highlight w:val="none"/>
                <w:lang w:eastAsia="zh-TW"/>
              </w:rPr>
              <w:t>热线</w:t>
            </w:r>
          </w:p>
        </w:tc>
        <w:tc>
          <w:tcPr>
            <w:tcW w:w="2815" w:type="dxa"/>
            <w:vAlign w:val="center"/>
          </w:tcPr>
          <w:p>
            <w:pPr>
              <w:snapToGrid w:val="0"/>
              <w:spacing w:after="0" w:line="300" w:lineRule="exact"/>
              <w:jc w:val="left"/>
              <w:rPr>
                <w:rFonts w:ascii="Times New Roman" w:hAnsi="Times New Roman" w:eastAsia="仿宋"/>
                <w:sz w:val="24"/>
                <w:szCs w:val="24"/>
                <w:highlight w:val="none"/>
              </w:rPr>
            </w:pPr>
            <w:r>
              <w:rPr>
                <w:rFonts w:hint="eastAsia" w:ascii="Times New Roman" w:hAnsi="仿宋" w:eastAsia="仿宋"/>
                <w:sz w:val="24"/>
                <w:szCs w:val="24"/>
                <w:highlight w:val="none"/>
              </w:rPr>
              <w:t>项目管理办公室</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社区居委会</w:t>
            </w:r>
          </w:p>
          <w:p>
            <w:pPr>
              <w:snapToGrid w:val="0"/>
              <w:spacing w:after="0" w:line="300" w:lineRule="exact"/>
              <w:jc w:val="left"/>
              <w:rPr>
                <w:rFonts w:ascii="Times New Roman" w:hAnsi="Times New Roman" w:eastAsia="仿宋"/>
                <w:sz w:val="24"/>
                <w:szCs w:val="24"/>
                <w:highlight w:val="none"/>
                <w:lang w:eastAsia="zh-TW"/>
              </w:rPr>
            </w:pPr>
            <w:r>
              <w:rPr>
                <w:rFonts w:ascii="Times New Roman" w:hAnsi="仿宋" w:eastAsia="仿宋"/>
                <w:sz w:val="24"/>
                <w:szCs w:val="24"/>
                <w:highlight w:val="none"/>
              </w:rPr>
              <w:t>每年一次</w:t>
            </w:r>
          </w:p>
        </w:tc>
        <w:tc>
          <w:tcPr>
            <w:tcW w:w="2288" w:type="dxa"/>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项目办</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省市政府部门</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行业机构</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社区居民</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咨询设计单位</w:t>
            </w:r>
          </w:p>
        </w:tc>
        <w:tc>
          <w:tcPr>
            <w:tcW w:w="2253" w:type="dxa"/>
            <w:tcBorders>
              <w:right w:val="nil"/>
            </w:tcBorders>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项目办</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Merge w:val="continue"/>
            <w:tcBorders>
              <w:left w:val="nil"/>
            </w:tcBorders>
            <w:vAlign w:val="center"/>
          </w:tcPr>
          <w:p>
            <w:pPr>
              <w:snapToGrid w:val="0"/>
              <w:spacing w:after="0" w:line="300" w:lineRule="exact"/>
              <w:jc w:val="left"/>
              <w:rPr>
                <w:rFonts w:ascii="Times New Roman" w:hAnsi="Times New Roman" w:eastAsia="仿宋"/>
                <w:sz w:val="24"/>
                <w:szCs w:val="24"/>
                <w:highlight w:val="none"/>
              </w:rPr>
            </w:pPr>
          </w:p>
        </w:tc>
        <w:tc>
          <w:tcPr>
            <w:tcW w:w="2779" w:type="dxa"/>
            <w:vAlign w:val="center"/>
          </w:tcPr>
          <w:p>
            <w:pPr>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项目社区安全、工人工作条件及职业健康政策、工作流程、个人防护等</w:t>
            </w:r>
          </w:p>
        </w:tc>
        <w:tc>
          <w:tcPr>
            <w:tcW w:w="2607" w:type="dxa"/>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座谈会</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社区公告栏</w:t>
            </w:r>
          </w:p>
          <w:p>
            <w:pPr>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现场培训</w:t>
            </w:r>
          </w:p>
        </w:tc>
        <w:tc>
          <w:tcPr>
            <w:tcW w:w="2815" w:type="dxa"/>
            <w:vAlign w:val="center"/>
          </w:tcPr>
          <w:p>
            <w:pPr>
              <w:snapToGrid w:val="0"/>
              <w:spacing w:after="0" w:line="300" w:lineRule="exact"/>
              <w:jc w:val="left"/>
              <w:rPr>
                <w:rFonts w:ascii="Times New Roman" w:hAnsi="Times New Roman" w:eastAsia="仿宋"/>
                <w:sz w:val="24"/>
                <w:szCs w:val="24"/>
                <w:highlight w:val="none"/>
                <w:lang w:eastAsia="zh-TW"/>
              </w:rPr>
            </w:pPr>
            <w:r>
              <w:rPr>
                <w:rFonts w:ascii="Times New Roman" w:hAnsi="仿宋" w:eastAsia="仿宋"/>
                <w:sz w:val="24"/>
                <w:szCs w:val="24"/>
                <w:highlight w:val="none"/>
                <w:lang w:eastAsia="zh-TW"/>
              </w:rPr>
              <w:t>社区居委会</w:t>
            </w:r>
          </w:p>
          <w:p>
            <w:pPr>
              <w:snapToGrid w:val="0"/>
              <w:spacing w:after="0" w:line="300" w:lineRule="exact"/>
              <w:jc w:val="left"/>
              <w:rPr>
                <w:rFonts w:ascii="Times New Roman" w:hAnsi="Times New Roman" w:eastAsia="仿宋"/>
                <w:sz w:val="24"/>
                <w:szCs w:val="24"/>
                <w:highlight w:val="none"/>
                <w:lang w:eastAsia="zh-TW"/>
              </w:rPr>
            </w:pPr>
            <w:r>
              <w:rPr>
                <w:rFonts w:ascii="Times New Roman" w:hAnsi="仿宋" w:eastAsia="仿宋"/>
                <w:sz w:val="24"/>
                <w:szCs w:val="24"/>
                <w:highlight w:val="none"/>
                <w:lang w:eastAsia="zh-TW"/>
              </w:rPr>
              <w:t>项目现场</w:t>
            </w:r>
          </w:p>
          <w:p>
            <w:pPr>
              <w:snapToGrid w:val="0"/>
              <w:spacing w:after="0" w:line="300" w:lineRule="exact"/>
              <w:jc w:val="left"/>
              <w:rPr>
                <w:rFonts w:ascii="Times New Roman" w:hAnsi="Times New Roman" w:eastAsia="仿宋"/>
                <w:sz w:val="24"/>
                <w:szCs w:val="24"/>
                <w:highlight w:val="none"/>
                <w:lang w:eastAsia="zh-TW"/>
              </w:rPr>
            </w:pPr>
            <w:r>
              <w:rPr>
                <w:rFonts w:ascii="Times New Roman" w:hAnsi="仿宋" w:eastAsia="仿宋"/>
                <w:sz w:val="24"/>
                <w:szCs w:val="24"/>
                <w:highlight w:val="none"/>
              </w:rPr>
              <w:t>每年一次</w:t>
            </w:r>
          </w:p>
        </w:tc>
        <w:tc>
          <w:tcPr>
            <w:tcW w:w="2288" w:type="dxa"/>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项目各类工人</w:t>
            </w:r>
          </w:p>
        </w:tc>
        <w:tc>
          <w:tcPr>
            <w:tcW w:w="2253" w:type="dxa"/>
            <w:tcBorders>
              <w:right w:val="nil"/>
            </w:tcBorders>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项目办</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555" w:type="dxa"/>
            <w:vMerge w:val="continue"/>
            <w:tcBorders>
              <w:left w:val="nil"/>
              <w:bottom w:val="single" w:color="000000" w:sz="12" w:space="0"/>
            </w:tcBorders>
            <w:vAlign w:val="center"/>
          </w:tcPr>
          <w:p>
            <w:pPr>
              <w:snapToGrid w:val="0"/>
              <w:spacing w:after="0" w:line="300" w:lineRule="exact"/>
              <w:jc w:val="left"/>
              <w:rPr>
                <w:rFonts w:ascii="Times New Roman" w:hAnsi="Times New Roman" w:eastAsia="仿宋"/>
                <w:sz w:val="24"/>
                <w:szCs w:val="24"/>
                <w:highlight w:val="none"/>
              </w:rPr>
            </w:pPr>
          </w:p>
        </w:tc>
        <w:tc>
          <w:tcPr>
            <w:tcW w:w="2779" w:type="dxa"/>
            <w:tcBorders>
              <w:bottom w:val="single" w:color="000000" w:sz="12" w:space="0"/>
            </w:tcBorders>
            <w:vAlign w:val="center"/>
          </w:tcPr>
          <w:p>
            <w:pPr>
              <w:spacing w:after="0" w:line="300" w:lineRule="exact"/>
              <w:jc w:val="left"/>
              <w:rPr>
                <w:rFonts w:ascii="Times New Roman" w:hAnsi="Times New Roman" w:eastAsia="仿宋"/>
                <w:sz w:val="24"/>
                <w:szCs w:val="24"/>
                <w:highlight w:val="none"/>
                <w:lang w:eastAsia="zh-TW"/>
              </w:rPr>
            </w:pPr>
            <w:r>
              <w:rPr>
                <w:rFonts w:ascii="Times New Roman" w:hAnsi="仿宋" w:eastAsia="仿宋"/>
                <w:sz w:val="24"/>
                <w:szCs w:val="24"/>
                <w:highlight w:val="none"/>
                <w:lang w:eastAsia="zh-TW"/>
              </w:rPr>
              <w:t>各类申诉抱怨</w:t>
            </w:r>
          </w:p>
        </w:tc>
        <w:tc>
          <w:tcPr>
            <w:tcW w:w="2607" w:type="dxa"/>
            <w:tcBorders>
              <w:bottom w:val="single" w:color="000000" w:sz="12" w:space="0"/>
            </w:tcBorders>
            <w:vAlign w:val="center"/>
          </w:tcPr>
          <w:p>
            <w:pPr>
              <w:spacing w:after="0" w:line="300" w:lineRule="exact"/>
              <w:jc w:val="left"/>
              <w:rPr>
                <w:rFonts w:ascii="Times New Roman" w:hAnsi="Times New Roman" w:eastAsia="仿宋"/>
                <w:sz w:val="24"/>
                <w:szCs w:val="24"/>
                <w:highlight w:val="none"/>
                <w:lang w:eastAsia="zh-TW"/>
              </w:rPr>
            </w:pPr>
            <w:r>
              <w:rPr>
                <w:rFonts w:ascii="Times New Roman" w:hAnsi="仿宋" w:eastAsia="仿宋"/>
                <w:sz w:val="24"/>
                <w:szCs w:val="24"/>
                <w:highlight w:val="none"/>
                <w:lang w:eastAsia="zh-TW"/>
              </w:rPr>
              <w:t>邮件</w:t>
            </w:r>
          </w:p>
          <w:p>
            <w:pPr>
              <w:spacing w:after="0" w:line="300" w:lineRule="exact"/>
              <w:jc w:val="left"/>
              <w:rPr>
                <w:rFonts w:ascii="Times New Roman" w:hAnsi="Times New Roman" w:eastAsia="仿宋"/>
                <w:sz w:val="24"/>
                <w:szCs w:val="24"/>
                <w:highlight w:val="none"/>
                <w:lang w:eastAsia="zh-TW"/>
              </w:rPr>
            </w:pPr>
            <w:r>
              <w:rPr>
                <w:rFonts w:ascii="Times New Roman" w:hAnsi="仿宋" w:eastAsia="仿宋"/>
                <w:sz w:val="24"/>
                <w:szCs w:val="24"/>
                <w:highlight w:val="none"/>
                <w:lang w:eastAsia="zh-TW"/>
              </w:rPr>
              <w:t>电话</w:t>
            </w:r>
          </w:p>
          <w:p>
            <w:pPr>
              <w:spacing w:after="0" w:line="300" w:lineRule="exact"/>
              <w:jc w:val="left"/>
              <w:rPr>
                <w:rFonts w:ascii="Times New Roman" w:hAnsi="Times New Roman" w:eastAsia="仿宋"/>
                <w:sz w:val="24"/>
                <w:szCs w:val="24"/>
                <w:highlight w:val="none"/>
                <w:lang w:eastAsia="zh-TW"/>
              </w:rPr>
            </w:pPr>
            <w:r>
              <w:rPr>
                <w:rFonts w:ascii="Times New Roman" w:hAnsi="Times New Roman" w:eastAsia="仿宋"/>
                <w:sz w:val="24"/>
                <w:szCs w:val="24"/>
                <w:highlight w:val="none"/>
                <w:lang w:eastAsia="zh-TW"/>
              </w:rPr>
              <w:t>“12369”</w:t>
            </w:r>
            <w:r>
              <w:rPr>
                <w:rFonts w:ascii="Times New Roman" w:hAnsi="仿宋" w:eastAsia="仿宋"/>
                <w:sz w:val="24"/>
                <w:szCs w:val="24"/>
                <w:highlight w:val="none"/>
                <w:lang w:eastAsia="zh-TW"/>
              </w:rPr>
              <w:t>热线</w:t>
            </w:r>
          </w:p>
        </w:tc>
        <w:tc>
          <w:tcPr>
            <w:tcW w:w="2815" w:type="dxa"/>
            <w:tcBorders>
              <w:bottom w:val="single" w:color="000000" w:sz="12" w:space="0"/>
            </w:tcBorders>
            <w:vAlign w:val="center"/>
          </w:tcPr>
          <w:p>
            <w:pPr>
              <w:snapToGrid w:val="0"/>
              <w:spacing w:after="0" w:line="300" w:lineRule="exact"/>
              <w:jc w:val="left"/>
              <w:rPr>
                <w:rFonts w:ascii="Times New Roman" w:hAnsi="Times New Roman" w:eastAsia="仿宋"/>
                <w:sz w:val="24"/>
                <w:szCs w:val="24"/>
                <w:highlight w:val="none"/>
              </w:rPr>
            </w:pPr>
            <w:r>
              <w:rPr>
                <w:rFonts w:hint="eastAsia" w:ascii="Times New Roman" w:hAnsi="仿宋" w:eastAsia="仿宋"/>
                <w:sz w:val="24"/>
                <w:szCs w:val="24"/>
                <w:highlight w:val="none"/>
              </w:rPr>
              <w:t>项目管理办公室</w:t>
            </w:r>
          </w:p>
          <w:p>
            <w:pPr>
              <w:snapToGrid w:val="0"/>
              <w:spacing w:after="0" w:line="300" w:lineRule="exact"/>
              <w:jc w:val="left"/>
              <w:rPr>
                <w:rFonts w:ascii="Times New Roman" w:hAnsi="Times New Roman" w:eastAsia="仿宋"/>
                <w:sz w:val="24"/>
                <w:szCs w:val="24"/>
                <w:highlight w:val="none"/>
                <w:lang w:eastAsia="zh-TW"/>
              </w:rPr>
            </w:pPr>
            <w:r>
              <w:rPr>
                <w:rFonts w:ascii="Times New Roman" w:hAnsi="仿宋" w:eastAsia="仿宋"/>
                <w:sz w:val="24"/>
                <w:szCs w:val="24"/>
                <w:highlight w:val="none"/>
              </w:rPr>
              <w:t>每年一次</w:t>
            </w:r>
          </w:p>
        </w:tc>
        <w:tc>
          <w:tcPr>
            <w:tcW w:w="2288" w:type="dxa"/>
            <w:tcBorders>
              <w:bottom w:val="single" w:color="000000" w:sz="12" w:space="0"/>
            </w:tcBorders>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项目办</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省市政府部门</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行业机构</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社区居民</w:t>
            </w:r>
          </w:p>
        </w:tc>
        <w:tc>
          <w:tcPr>
            <w:tcW w:w="2253" w:type="dxa"/>
            <w:tcBorders>
              <w:bottom w:val="single" w:color="000000" w:sz="12" w:space="0"/>
              <w:right w:val="nil"/>
            </w:tcBorders>
            <w:vAlign w:val="center"/>
          </w:tcPr>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项目办</w:t>
            </w:r>
          </w:p>
          <w:p>
            <w:pPr>
              <w:snapToGrid w:val="0"/>
              <w:spacing w:after="0" w:line="300" w:lineRule="exact"/>
              <w:jc w:val="left"/>
              <w:rPr>
                <w:rFonts w:ascii="Times New Roman" w:hAnsi="Times New Roman" w:eastAsia="仿宋"/>
                <w:sz w:val="24"/>
                <w:szCs w:val="24"/>
                <w:highlight w:val="none"/>
              </w:rPr>
            </w:pPr>
            <w:r>
              <w:rPr>
                <w:rFonts w:ascii="Times New Roman" w:hAnsi="仿宋" w:eastAsia="仿宋"/>
                <w:sz w:val="24"/>
                <w:szCs w:val="24"/>
                <w:highlight w:val="none"/>
              </w:rPr>
              <w:t>街道、社区负责人</w:t>
            </w:r>
          </w:p>
        </w:tc>
      </w:tr>
    </w:tbl>
    <w:p>
      <w:pPr>
        <w:pStyle w:val="12"/>
        <w:spacing w:after="0" w:line="400" w:lineRule="exact"/>
        <w:jc w:val="center"/>
        <w:rPr>
          <w:rFonts w:ascii="Times New Roman" w:hAnsi="Times New Roman" w:cs="Times New Roman"/>
          <w:kern w:val="0"/>
          <w:sz w:val="21"/>
          <w:szCs w:val="21"/>
          <w:highlight w:val="none"/>
        </w:rPr>
      </w:pPr>
      <w:bookmarkStart w:id="38" w:name="_Toc65281253"/>
    </w:p>
    <w:p>
      <w:pPr>
        <w:pStyle w:val="12"/>
        <w:spacing w:after="0" w:line="400" w:lineRule="exact"/>
        <w:jc w:val="center"/>
        <w:rPr>
          <w:rFonts w:ascii="Times New Roman" w:hAnsi="Times New Roman" w:cs="Times New Roman"/>
          <w:kern w:val="0"/>
          <w:sz w:val="21"/>
          <w:szCs w:val="21"/>
          <w:highlight w:val="none"/>
        </w:rPr>
      </w:pPr>
    </w:p>
    <w:p>
      <w:pPr>
        <w:pStyle w:val="12"/>
        <w:spacing w:after="0" w:line="400" w:lineRule="exact"/>
        <w:jc w:val="center"/>
        <w:rPr>
          <w:rFonts w:ascii="Times New Roman" w:hAnsi="Times New Roman" w:cs="Times New Roman"/>
          <w:kern w:val="0"/>
          <w:sz w:val="21"/>
          <w:szCs w:val="21"/>
          <w:highlight w:val="none"/>
        </w:rPr>
      </w:pPr>
    </w:p>
    <w:p>
      <w:pPr>
        <w:pStyle w:val="12"/>
        <w:spacing w:after="0" w:line="400" w:lineRule="exact"/>
        <w:jc w:val="center"/>
        <w:rPr>
          <w:rFonts w:ascii="Times New Roman" w:hAnsi="Times New Roman" w:cs="Times New Roman"/>
          <w:kern w:val="0"/>
          <w:sz w:val="21"/>
          <w:szCs w:val="21"/>
          <w:highlight w:val="none"/>
        </w:rPr>
      </w:pPr>
    </w:p>
    <w:p>
      <w:pPr>
        <w:pStyle w:val="12"/>
        <w:spacing w:after="156" w:afterLines="50" w:line="240" w:lineRule="auto"/>
        <w:jc w:val="center"/>
        <w:rPr>
          <w:rFonts w:ascii="Times New Roman" w:hAnsi="Times New Roman" w:cs="Times New Roman"/>
          <w:kern w:val="0"/>
          <w:sz w:val="28"/>
          <w:szCs w:val="28"/>
          <w:highlight w:val="none"/>
        </w:rPr>
      </w:pPr>
      <w:r>
        <w:rPr>
          <w:rFonts w:ascii="Times New Roman" w:hAnsi="Times New Roman" w:cs="Times New Roman"/>
          <w:kern w:val="0"/>
          <w:sz w:val="28"/>
          <w:szCs w:val="28"/>
          <w:highlight w:val="none"/>
        </w:rPr>
        <w:t>表3-2 公众参与记录模板</w:t>
      </w:r>
      <w:bookmarkEnd w:id="38"/>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6" w:type="dxa"/>
          <w:bottom w:w="0" w:type="dxa"/>
          <w:right w:w="56" w:type="dxa"/>
        </w:tblCellMar>
      </w:tblPr>
      <w:tblGrid>
        <w:gridCol w:w="1449"/>
        <w:gridCol w:w="1846"/>
        <w:gridCol w:w="2708"/>
        <w:gridCol w:w="2027"/>
        <w:gridCol w:w="2184"/>
        <w:gridCol w:w="2041"/>
        <w:gridCol w:w="181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505" w:hRule="atLeast"/>
          <w:tblHeader/>
        </w:trPr>
        <w:tc>
          <w:tcPr>
            <w:tcW w:w="515" w:type="pct"/>
            <w:shd w:val="clear" w:color="auto" w:fill="F1F1F1" w:themeFill="background1" w:themeFillShade="F2"/>
            <w:vAlign w:val="center"/>
          </w:tcPr>
          <w:p>
            <w:pPr>
              <w:spacing w:after="0" w:line="240" w:lineRule="auto"/>
              <w:jc w:val="center"/>
              <w:rPr>
                <w:rFonts w:ascii="Times New Roman" w:hAnsi="Times New Roman" w:eastAsia="黑体"/>
                <w:bCs/>
                <w:sz w:val="24"/>
                <w:szCs w:val="24"/>
                <w:highlight w:val="none"/>
              </w:rPr>
            </w:pPr>
            <w:r>
              <w:rPr>
                <w:rFonts w:ascii="Times New Roman" w:hAnsi="黑体" w:eastAsia="黑体"/>
                <w:bCs/>
                <w:sz w:val="24"/>
                <w:szCs w:val="24"/>
                <w:highlight w:val="none"/>
              </w:rPr>
              <w:t>日期</w:t>
            </w:r>
          </w:p>
        </w:tc>
        <w:tc>
          <w:tcPr>
            <w:tcW w:w="656" w:type="pct"/>
            <w:shd w:val="clear" w:color="auto" w:fill="F1F1F1" w:themeFill="background1" w:themeFillShade="F2"/>
            <w:vAlign w:val="center"/>
          </w:tcPr>
          <w:p>
            <w:pPr>
              <w:spacing w:after="0" w:line="240" w:lineRule="auto"/>
              <w:jc w:val="center"/>
              <w:rPr>
                <w:rFonts w:ascii="Times New Roman" w:hAnsi="Times New Roman" w:eastAsia="黑体"/>
                <w:bCs/>
                <w:sz w:val="24"/>
                <w:szCs w:val="24"/>
                <w:highlight w:val="none"/>
              </w:rPr>
            </w:pPr>
            <w:r>
              <w:rPr>
                <w:rFonts w:ascii="Times New Roman" w:hAnsi="黑体" w:eastAsia="黑体"/>
                <w:bCs/>
                <w:sz w:val="24"/>
                <w:szCs w:val="24"/>
                <w:highlight w:val="none"/>
              </w:rPr>
              <w:t>地点</w:t>
            </w:r>
          </w:p>
        </w:tc>
        <w:tc>
          <w:tcPr>
            <w:tcW w:w="962" w:type="pct"/>
            <w:shd w:val="clear" w:color="auto" w:fill="F1F1F1" w:themeFill="background1" w:themeFillShade="F2"/>
            <w:vAlign w:val="center"/>
          </w:tcPr>
          <w:p>
            <w:pPr>
              <w:spacing w:after="0" w:line="240" w:lineRule="auto"/>
              <w:jc w:val="center"/>
              <w:rPr>
                <w:rFonts w:ascii="Times New Roman" w:hAnsi="Times New Roman" w:eastAsia="黑体"/>
                <w:bCs/>
                <w:sz w:val="24"/>
                <w:szCs w:val="24"/>
                <w:highlight w:val="none"/>
              </w:rPr>
            </w:pPr>
            <w:r>
              <w:rPr>
                <w:rFonts w:ascii="Times New Roman" w:hAnsi="黑体" w:eastAsia="黑体"/>
                <w:bCs/>
                <w:sz w:val="24"/>
                <w:szCs w:val="24"/>
                <w:highlight w:val="none"/>
              </w:rPr>
              <w:t>主要活动</w:t>
            </w:r>
          </w:p>
        </w:tc>
        <w:tc>
          <w:tcPr>
            <w:tcW w:w="720" w:type="pct"/>
            <w:shd w:val="clear" w:color="auto" w:fill="F1F1F1" w:themeFill="background1" w:themeFillShade="F2"/>
            <w:vAlign w:val="center"/>
          </w:tcPr>
          <w:p>
            <w:pPr>
              <w:spacing w:after="0" w:line="240" w:lineRule="auto"/>
              <w:jc w:val="center"/>
              <w:rPr>
                <w:rFonts w:ascii="Times New Roman" w:hAnsi="Times New Roman" w:eastAsia="黑体"/>
                <w:bCs/>
                <w:sz w:val="24"/>
                <w:szCs w:val="24"/>
                <w:highlight w:val="none"/>
              </w:rPr>
            </w:pPr>
            <w:r>
              <w:rPr>
                <w:rFonts w:ascii="Times New Roman" w:hAnsi="黑体" w:eastAsia="黑体"/>
                <w:bCs/>
                <w:sz w:val="24"/>
                <w:szCs w:val="24"/>
                <w:highlight w:val="none"/>
              </w:rPr>
              <w:t>主要方法</w:t>
            </w:r>
          </w:p>
        </w:tc>
        <w:tc>
          <w:tcPr>
            <w:tcW w:w="776" w:type="pct"/>
            <w:shd w:val="clear" w:color="auto" w:fill="F1F1F1" w:themeFill="background1" w:themeFillShade="F2"/>
            <w:vAlign w:val="center"/>
          </w:tcPr>
          <w:p>
            <w:pPr>
              <w:spacing w:after="0" w:line="240" w:lineRule="auto"/>
              <w:jc w:val="center"/>
              <w:rPr>
                <w:rFonts w:ascii="Times New Roman" w:hAnsi="Times New Roman" w:eastAsia="黑体"/>
                <w:bCs/>
                <w:sz w:val="24"/>
                <w:szCs w:val="24"/>
                <w:highlight w:val="none"/>
              </w:rPr>
            </w:pPr>
            <w:r>
              <w:rPr>
                <w:rFonts w:ascii="Times New Roman" w:hAnsi="黑体" w:eastAsia="黑体"/>
                <w:bCs/>
                <w:sz w:val="24"/>
                <w:szCs w:val="24"/>
                <w:highlight w:val="none"/>
              </w:rPr>
              <w:t>参与人员</w:t>
            </w:r>
          </w:p>
        </w:tc>
        <w:tc>
          <w:tcPr>
            <w:tcW w:w="725" w:type="pct"/>
            <w:shd w:val="clear" w:color="auto" w:fill="F1F1F1" w:themeFill="background1" w:themeFillShade="F2"/>
            <w:vAlign w:val="center"/>
          </w:tcPr>
          <w:p>
            <w:pPr>
              <w:spacing w:after="0" w:line="240" w:lineRule="auto"/>
              <w:jc w:val="center"/>
              <w:rPr>
                <w:rFonts w:ascii="Times New Roman" w:hAnsi="Times New Roman" w:eastAsia="黑体"/>
                <w:bCs/>
                <w:sz w:val="24"/>
                <w:szCs w:val="24"/>
                <w:highlight w:val="none"/>
              </w:rPr>
            </w:pPr>
            <w:r>
              <w:rPr>
                <w:rFonts w:ascii="Times New Roman" w:hAnsi="黑体" w:eastAsia="黑体"/>
                <w:bCs/>
                <w:sz w:val="24"/>
                <w:szCs w:val="24"/>
                <w:highlight w:val="none"/>
              </w:rPr>
              <w:t>责任机构</w:t>
            </w:r>
          </w:p>
        </w:tc>
        <w:tc>
          <w:tcPr>
            <w:tcW w:w="645" w:type="pct"/>
            <w:shd w:val="clear" w:color="auto" w:fill="F1F1F1" w:themeFill="background1" w:themeFillShade="F2"/>
            <w:vAlign w:val="center"/>
          </w:tcPr>
          <w:p>
            <w:pPr>
              <w:spacing w:after="0" w:line="240" w:lineRule="auto"/>
              <w:jc w:val="center"/>
              <w:rPr>
                <w:rFonts w:ascii="Times New Roman" w:hAnsi="Times New Roman" w:eastAsia="黑体"/>
                <w:bCs/>
                <w:sz w:val="24"/>
                <w:szCs w:val="24"/>
                <w:highlight w:val="none"/>
              </w:rPr>
            </w:pPr>
            <w:r>
              <w:rPr>
                <w:rFonts w:ascii="Times New Roman" w:hAnsi="黑体" w:eastAsia="黑体"/>
                <w:bCs/>
                <w:sz w:val="24"/>
                <w:szCs w:val="24"/>
                <w:highlight w:val="none"/>
              </w:rPr>
              <w:t>主要发现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515" w:type="pct"/>
          </w:tcPr>
          <w:p>
            <w:pPr>
              <w:spacing w:before="60" w:after="60"/>
              <w:rPr>
                <w:rFonts w:ascii="Times New Roman" w:hAnsi="Times New Roman" w:eastAsia="仿宋_GB2312"/>
                <w:bCs/>
                <w:sz w:val="24"/>
                <w:szCs w:val="24"/>
                <w:highlight w:val="none"/>
              </w:rPr>
            </w:pPr>
          </w:p>
        </w:tc>
        <w:tc>
          <w:tcPr>
            <w:tcW w:w="656" w:type="pct"/>
          </w:tcPr>
          <w:p>
            <w:pPr>
              <w:spacing w:before="60" w:after="60"/>
              <w:rPr>
                <w:rFonts w:ascii="Times New Roman" w:hAnsi="Times New Roman" w:eastAsia="仿宋_GB2312"/>
                <w:bCs/>
                <w:sz w:val="24"/>
                <w:szCs w:val="24"/>
                <w:highlight w:val="none"/>
              </w:rPr>
            </w:pPr>
          </w:p>
        </w:tc>
        <w:tc>
          <w:tcPr>
            <w:tcW w:w="962" w:type="pct"/>
          </w:tcPr>
          <w:p>
            <w:pPr>
              <w:spacing w:before="60" w:after="60"/>
              <w:rPr>
                <w:rFonts w:ascii="Times New Roman" w:hAnsi="Times New Roman" w:eastAsia="仿宋_GB2312"/>
                <w:bCs/>
                <w:sz w:val="24"/>
                <w:szCs w:val="24"/>
                <w:highlight w:val="none"/>
              </w:rPr>
            </w:pPr>
          </w:p>
        </w:tc>
        <w:tc>
          <w:tcPr>
            <w:tcW w:w="720" w:type="pct"/>
          </w:tcPr>
          <w:p>
            <w:pPr>
              <w:spacing w:before="60" w:after="60"/>
              <w:rPr>
                <w:rFonts w:ascii="Times New Roman" w:hAnsi="Times New Roman" w:eastAsia="仿宋_GB2312"/>
                <w:bCs/>
                <w:sz w:val="24"/>
                <w:szCs w:val="24"/>
                <w:highlight w:val="none"/>
              </w:rPr>
            </w:pPr>
          </w:p>
        </w:tc>
        <w:tc>
          <w:tcPr>
            <w:tcW w:w="776" w:type="pct"/>
          </w:tcPr>
          <w:p>
            <w:pPr>
              <w:spacing w:before="60" w:after="60"/>
              <w:rPr>
                <w:rFonts w:ascii="Times New Roman" w:hAnsi="Times New Roman" w:eastAsia="仿宋_GB2312"/>
                <w:bCs/>
                <w:sz w:val="24"/>
                <w:szCs w:val="24"/>
                <w:highlight w:val="none"/>
              </w:rPr>
            </w:pPr>
          </w:p>
        </w:tc>
        <w:tc>
          <w:tcPr>
            <w:tcW w:w="725" w:type="pct"/>
          </w:tcPr>
          <w:p>
            <w:pPr>
              <w:spacing w:before="60" w:after="60"/>
              <w:rPr>
                <w:rFonts w:ascii="Times New Roman" w:hAnsi="Times New Roman" w:eastAsia="仿宋_GB2312"/>
                <w:bCs/>
                <w:sz w:val="24"/>
                <w:szCs w:val="24"/>
                <w:highlight w:val="none"/>
              </w:rPr>
            </w:pPr>
          </w:p>
        </w:tc>
        <w:tc>
          <w:tcPr>
            <w:tcW w:w="645" w:type="pct"/>
          </w:tcPr>
          <w:p>
            <w:pPr>
              <w:spacing w:before="60" w:after="60"/>
              <w:rPr>
                <w:rFonts w:ascii="Times New Roman" w:hAnsi="Times New Roman" w:eastAsia="仿宋_GB2312"/>
                <w:bCs/>
                <w:sz w:val="24"/>
                <w:szCs w:val="24"/>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515" w:type="pct"/>
            <w:shd w:val="clear" w:color="auto" w:fill="auto"/>
          </w:tcPr>
          <w:p>
            <w:pPr>
              <w:spacing w:before="60" w:after="60"/>
              <w:rPr>
                <w:rFonts w:ascii="Times New Roman" w:hAnsi="Times New Roman" w:eastAsia="仿宋_GB2312"/>
                <w:bCs/>
                <w:sz w:val="24"/>
                <w:szCs w:val="24"/>
                <w:highlight w:val="none"/>
              </w:rPr>
            </w:pPr>
          </w:p>
        </w:tc>
        <w:tc>
          <w:tcPr>
            <w:tcW w:w="656" w:type="pct"/>
            <w:shd w:val="clear" w:color="auto" w:fill="auto"/>
          </w:tcPr>
          <w:p>
            <w:pPr>
              <w:spacing w:before="60" w:after="60"/>
              <w:rPr>
                <w:rFonts w:ascii="Times New Roman" w:hAnsi="Times New Roman" w:eastAsia="仿宋_GB2312"/>
                <w:bCs/>
                <w:sz w:val="24"/>
                <w:szCs w:val="24"/>
                <w:highlight w:val="none"/>
              </w:rPr>
            </w:pPr>
          </w:p>
        </w:tc>
        <w:tc>
          <w:tcPr>
            <w:tcW w:w="962" w:type="pct"/>
          </w:tcPr>
          <w:p>
            <w:pPr>
              <w:spacing w:before="60" w:after="60"/>
              <w:rPr>
                <w:rFonts w:ascii="Times New Roman" w:hAnsi="Times New Roman" w:eastAsia="仿宋_GB2312"/>
                <w:bCs/>
                <w:sz w:val="24"/>
                <w:szCs w:val="24"/>
                <w:highlight w:val="none"/>
              </w:rPr>
            </w:pPr>
          </w:p>
        </w:tc>
        <w:tc>
          <w:tcPr>
            <w:tcW w:w="720" w:type="pct"/>
          </w:tcPr>
          <w:p>
            <w:pPr>
              <w:spacing w:before="60" w:after="60"/>
              <w:rPr>
                <w:rFonts w:ascii="Times New Roman" w:hAnsi="Times New Roman" w:eastAsia="仿宋_GB2312"/>
                <w:bCs/>
                <w:sz w:val="24"/>
                <w:szCs w:val="24"/>
                <w:highlight w:val="none"/>
              </w:rPr>
            </w:pPr>
          </w:p>
        </w:tc>
        <w:tc>
          <w:tcPr>
            <w:tcW w:w="776" w:type="pct"/>
          </w:tcPr>
          <w:p>
            <w:pPr>
              <w:spacing w:before="60" w:after="60"/>
              <w:rPr>
                <w:rFonts w:ascii="Times New Roman" w:hAnsi="Times New Roman" w:eastAsia="仿宋_GB2312"/>
                <w:bCs/>
                <w:sz w:val="24"/>
                <w:szCs w:val="24"/>
                <w:highlight w:val="none"/>
              </w:rPr>
            </w:pPr>
          </w:p>
        </w:tc>
        <w:tc>
          <w:tcPr>
            <w:tcW w:w="725" w:type="pct"/>
          </w:tcPr>
          <w:p>
            <w:pPr>
              <w:spacing w:before="60" w:after="60"/>
              <w:rPr>
                <w:rFonts w:ascii="Times New Roman" w:hAnsi="Times New Roman" w:eastAsia="仿宋_GB2312"/>
                <w:bCs/>
                <w:sz w:val="24"/>
                <w:szCs w:val="24"/>
                <w:highlight w:val="none"/>
              </w:rPr>
            </w:pPr>
          </w:p>
        </w:tc>
        <w:tc>
          <w:tcPr>
            <w:tcW w:w="645" w:type="pct"/>
            <w:shd w:val="clear" w:color="auto" w:fill="auto"/>
          </w:tcPr>
          <w:p>
            <w:pPr>
              <w:spacing w:before="60" w:after="60"/>
              <w:rPr>
                <w:rFonts w:ascii="Times New Roman" w:hAnsi="Times New Roman" w:eastAsia="仿宋_GB2312"/>
                <w:bCs/>
                <w:sz w:val="24"/>
                <w:szCs w:val="24"/>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515" w:type="pct"/>
            <w:shd w:val="clear" w:color="auto" w:fill="auto"/>
          </w:tcPr>
          <w:p>
            <w:pPr>
              <w:spacing w:before="60" w:after="60"/>
              <w:rPr>
                <w:rFonts w:ascii="Times New Roman" w:hAnsi="Times New Roman" w:eastAsia="仿宋_GB2312"/>
                <w:bCs/>
                <w:sz w:val="24"/>
                <w:szCs w:val="24"/>
                <w:highlight w:val="none"/>
              </w:rPr>
            </w:pPr>
          </w:p>
        </w:tc>
        <w:tc>
          <w:tcPr>
            <w:tcW w:w="656" w:type="pct"/>
            <w:shd w:val="clear" w:color="auto" w:fill="auto"/>
          </w:tcPr>
          <w:p>
            <w:pPr>
              <w:spacing w:before="60" w:after="60"/>
              <w:rPr>
                <w:rFonts w:ascii="Times New Roman" w:hAnsi="Times New Roman" w:eastAsia="仿宋_GB2312"/>
                <w:bCs/>
                <w:sz w:val="24"/>
                <w:szCs w:val="24"/>
                <w:highlight w:val="none"/>
              </w:rPr>
            </w:pPr>
          </w:p>
        </w:tc>
        <w:tc>
          <w:tcPr>
            <w:tcW w:w="962" w:type="pct"/>
          </w:tcPr>
          <w:p>
            <w:pPr>
              <w:spacing w:before="60" w:after="60"/>
              <w:rPr>
                <w:rFonts w:ascii="Times New Roman" w:hAnsi="Times New Roman" w:eastAsia="仿宋_GB2312"/>
                <w:bCs/>
                <w:sz w:val="24"/>
                <w:szCs w:val="24"/>
                <w:highlight w:val="none"/>
              </w:rPr>
            </w:pPr>
          </w:p>
        </w:tc>
        <w:tc>
          <w:tcPr>
            <w:tcW w:w="720" w:type="pct"/>
          </w:tcPr>
          <w:p>
            <w:pPr>
              <w:spacing w:before="60" w:after="60"/>
              <w:rPr>
                <w:rFonts w:ascii="Times New Roman" w:hAnsi="Times New Roman" w:eastAsia="仿宋_GB2312"/>
                <w:bCs/>
                <w:sz w:val="24"/>
                <w:szCs w:val="24"/>
                <w:highlight w:val="none"/>
              </w:rPr>
            </w:pPr>
          </w:p>
        </w:tc>
        <w:tc>
          <w:tcPr>
            <w:tcW w:w="776" w:type="pct"/>
          </w:tcPr>
          <w:p>
            <w:pPr>
              <w:spacing w:before="60" w:after="60"/>
              <w:rPr>
                <w:rFonts w:ascii="Times New Roman" w:hAnsi="Times New Roman" w:eastAsia="仿宋_GB2312"/>
                <w:bCs/>
                <w:sz w:val="24"/>
                <w:szCs w:val="24"/>
                <w:highlight w:val="none"/>
              </w:rPr>
            </w:pPr>
          </w:p>
        </w:tc>
        <w:tc>
          <w:tcPr>
            <w:tcW w:w="725" w:type="pct"/>
          </w:tcPr>
          <w:p>
            <w:pPr>
              <w:spacing w:before="60" w:after="60"/>
              <w:rPr>
                <w:rFonts w:ascii="Times New Roman" w:hAnsi="Times New Roman" w:eastAsia="仿宋_GB2312"/>
                <w:bCs/>
                <w:sz w:val="24"/>
                <w:szCs w:val="24"/>
                <w:highlight w:val="none"/>
              </w:rPr>
            </w:pPr>
          </w:p>
        </w:tc>
        <w:tc>
          <w:tcPr>
            <w:tcW w:w="645" w:type="pct"/>
            <w:shd w:val="clear" w:color="auto" w:fill="auto"/>
          </w:tcPr>
          <w:p>
            <w:pPr>
              <w:spacing w:before="60" w:after="60"/>
              <w:rPr>
                <w:rFonts w:ascii="Times New Roman" w:hAnsi="Times New Roman" w:eastAsia="仿宋_GB2312"/>
                <w:bCs/>
                <w:sz w:val="24"/>
                <w:szCs w:val="24"/>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40" w:hRule="atLeast"/>
        </w:trPr>
        <w:tc>
          <w:tcPr>
            <w:tcW w:w="515" w:type="pct"/>
            <w:shd w:val="clear" w:color="auto" w:fill="auto"/>
          </w:tcPr>
          <w:p>
            <w:pPr>
              <w:spacing w:before="60" w:after="60"/>
              <w:rPr>
                <w:rFonts w:ascii="Times New Roman" w:hAnsi="Times New Roman" w:eastAsia="仿宋_GB2312"/>
                <w:bCs/>
                <w:sz w:val="24"/>
                <w:szCs w:val="24"/>
                <w:highlight w:val="none"/>
              </w:rPr>
            </w:pPr>
          </w:p>
        </w:tc>
        <w:tc>
          <w:tcPr>
            <w:tcW w:w="656" w:type="pct"/>
            <w:shd w:val="clear" w:color="auto" w:fill="auto"/>
          </w:tcPr>
          <w:p>
            <w:pPr>
              <w:spacing w:before="60" w:after="60"/>
              <w:rPr>
                <w:rFonts w:ascii="Times New Roman" w:hAnsi="Times New Roman" w:eastAsia="仿宋_GB2312"/>
                <w:bCs/>
                <w:sz w:val="24"/>
                <w:szCs w:val="24"/>
                <w:highlight w:val="none"/>
              </w:rPr>
            </w:pPr>
          </w:p>
        </w:tc>
        <w:tc>
          <w:tcPr>
            <w:tcW w:w="962" w:type="pct"/>
          </w:tcPr>
          <w:p>
            <w:pPr>
              <w:spacing w:before="60" w:after="60"/>
              <w:rPr>
                <w:rFonts w:ascii="Times New Roman" w:hAnsi="Times New Roman" w:eastAsia="仿宋_GB2312"/>
                <w:bCs/>
                <w:sz w:val="24"/>
                <w:szCs w:val="24"/>
                <w:highlight w:val="none"/>
              </w:rPr>
            </w:pPr>
          </w:p>
        </w:tc>
        <w:tc>
          <w:tcPr>
            <w:tcW w:w="720" w:type="pct"/>
          </w:tcPr>
          <w:p>
            <w:pPr>
              <w:spacing w:before="60" w:after="60"/>
              <w:rPr>
                <w:rFonts w:ascii="Times New Roman" w:hAnsi="Times New Roman" w:eastAsia="仿宋_GB2312"/>
                <w:bCs/>
                <w:sz w:val="24"/>
                <w:szCs w:val="24"/>
                <w:highlight w:val="none"/>
              </w:rPr>
            </w:pPr>
          </w:p>
        </w:tc>
        <w:tc>
          <w:tcPr>
            <w:tcW w:w="776" w:type="pct"/>
          </w:tcPr>
          <w:p>
            <w:pPr>
              <w:spacing w:before="60" w:after="60"/>
              <w:rPr>
                <w:rFonts w:ascii="Times New Roman" w:hAnsi="Times New Roman" w:eastAsia="仿宋_GB2312"/>
                <w:bCs/>
                <w:sz w:val="24"/>
                <w:szCs w:val="24"/>
                <w:highlight w:val="none"/>
              </w:rPr>
            </w:pPr>
          </w:p>
        </w:tc>
        <w:tc>
          <w:tcPr>
            <w:tcW w:w="725" w:type="pct"/>
          </w:tcPr>
          <w:p>
            <w:pPr>
              <w:spacing w:before="60" w:after="60"/>
              <w:rPr>
                <w:rFonts w:ascii="Times New Roman" w:hAnsi="Times New Roman" w:eastAsia="仿宋_GB2312"/>
                <w:bCs/>
                <w:sz w:val="24"/>
                <w:szCs w:val="24"/>
                <w:highlight w:val="none"/>
              </w:rPr>
            </w:pPr>
          </w:p>
        </w:tc>
        <w:tc>
          <w:tcPr>
            <w:tcW w:w="645" w:type="pct"/>
            <w:shd w:val="clear" w:color="auto" w:fill="auto"/>
          </w:tcPr>
          <w:p>
            <w:pPr>
              <w:spacing w:before="60" w:after="60"/>
              <w:rPr>
                <w:rFonts w:ascii="Times New Roman" w:hAnsi="Times New Roman" w:eastAsia="仿宋_GB2312"/>
                <w:bCs/>
                <w:sz w:val="24"/>
                <w:szCs w:val="24"/>
                <w:highlight w:val="none"/>
              </w:rPr>
            </w:pPr>
          </w:p>
        </w:tc>
      </w:tr>
    </w:tbl>
    <w:p>
      <w:pPr>
        <w:pStyle w:val="4"/>
        <w:spacing w:before="312" w:beforeLines="100" w:after="0" w:line="240" w:lineRule="auto"/>
        <w:ind w:left="0" w:firstLine="0"/>
        <w:jc w:val="both"/>
        <w:rPr>
          <w:rFonts w:ascii="Times New Roman" w:hAnsi="Times New Roman" w:eastAsia="楷体_GB2312" w:cs="Times New Roman"/>
          <w:bCs w:val="0"/>
          <w:highlight w:val="none"/>
        </w:rPr>
      </w:pPr>
      <w:bookmarkStart w:id="39" w:name="_Toc57415928"/>
      <w:bookmarkStart w:id="40" w:name="_Toc811789106"/>
      <w:r>
        <w:rPr>
          <w:rFonts w:ascii="Times New Roman" w:hAnsi="Times New Roman" w:eastAsia="楷体_GB2312" w:cs="Times New Roman"/>
          <w:bCs w:val="0"/>
          <w:highlight w:val="none"/>
        </w:rPr>
        <w:t xml:space="preserve"> 拟议策略纳入脆弱群体的意见</w:t>
      </w:r>
      <w:bookmarkEnd w:id="39"/>
      <w:bookmarkEnd w:id="40"/>
    </w:p>
    <w:p>
      <w:pPr>
        <w:spacing w:after="0" w:line="240" w:lineRule="auto"/>
        <w:ind w:firstLine="640" w:firstLineChars="200"/>
        <w:rPr>
          <w:rFonts w:ascii="Times New Roman" w:hAnsi="Times New Roman" w:eastAsia="仿宋_GB2312"/>
          <w:kern w:val="0"/>
          <w:sz w:val="32"/>
          <w:szCs w:val="32"/>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仿宋_GB2312"/>
          <w:kern w:val="0"/>
          <w:sz w:val="32"/>
          <w:szCs w:val="32"/>
          <w:highlight w:val="none"/>
        </w:rPr>
        <w:t>由于弱势群体的承受能力较弱，更容易遭受不成比例的损失；而且有时也容易被排斥在外，无法充分参与协商进程，因此，需要采取适当措施和援助，以确保他们充分参与项目活动。表3-3草拟了采纳弱势群体意见的参与策略。</w:t>
      </w:r>
    </w:p>
    <w:p>
      <w:pPr>
        <w:pStyle w:val="12"/>
        <w:spacing w:before="156" w:beforeLines="50" w:after="156" w:afterLines="50" w:line="240" w:lineRule="auto"/>
        <w:jc w:val="center"/>
        <w:rPr>
          <w:rFonts w:ascii="Times New Roman" w:hAnsi="Times New Roman" w:cs="Times New Roman"/>
          <w:kern w:val="0"/>
          <w:sz w:val="28"/>
          <w:szCs w:val="28"/>
          <w:highlight w:val="none"/>
        </w:rPr>
      </w:pPr>
      <w:bookmarkStart w:id="41" w:name="_Toc65281254"/>
      <w:r>
        <w:rPr>
          <w:rFonts w:ascii="Times New Roman" w:hAnsi="黑体" w:cs="Times New Roman"/>
          <w:kern w:val="0"/>
          <w:sz w:val="28"/>
          <w:szCs w:val="28"/>
          <w:highlight w:val="none"/>
        </w:rPr>
        <w:t>表</w:t>
      </w:r>
      <w:r>
        <w:rPr>
          <w:rFonts w:ascii="Times New Roman" w:hAnsi="Times New Roman" w:cs="Times New Roman"/>
          <w:kern w:val="0"/>
          <w:sz w:val="28"/>
          <w:szCs w:val="28"/>
          <w:highlight w:val="none"/>
        </w:rPr>
        <w:t xml:space="preserve">3-3 </w:t>
      </w:r>
      <w:r>
        <w:rPr>
          <w:rFonts w:ascii="Times New Roman" w:hAnsi="黑体" w:cs="Times New Roman"/>
          <w:kern w:val="0"/>
          <w:sz w:val="28"/>
          <w:szCs w:val="28"/>
          <w:highlight w:val="none"/>
        </w:rPr>
        <w:t>拟议采纳弱势群体意见的策略</w:t>
      </w:r>
      <w:bookmarkEnd w:id="41"/>
    </w:p>
    <w:tbl>
      <w:tblPr>
        <w:tblStyle w:val="26"/>
        <w:tblW w:w="49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6"/>
        <w:gridCol w:w="3461"/>
        <w:gridCol w:w="3060"/>
        <w:gridCol w:w="2449"/>
        <w:gridCol w:w="3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blHeader/>
          <w:jc w:val="center"/>
        </w:trPr>
        <w:tc>
          <w:tcPr>
            <w:tcW w:w="580" w:type="pct"/>
            <w:tcBorders>
              <w:top w:val="single" w:color="000000" w:sz="12" w:space="0"/>
              <w:left w:val="nil"/>
            </w:tcBorders>
            <w:shd w:val="clear" w:color="auto" w:fill="auto"/>
            <w:vAlign w:val="center"/>
          </w:tcPr>
          <w:p>
            <w:pPr>
              <w:snapToGrid w:val="0"/>
              <w:spacing w:after="0" w:line="240" w:lineRule="auto"/>
              <w:jc w:val="center"/>
              <w:rPr>
                <w:rFonts w:ascii="Times New Roman" w:hAnsi="Times New Roman" w:eastAsia="黑体"/>
                <w:b/>
                <w:sz w:val="24"/>
                <w:szCs w:val="24"/>
                <w:highlight w:val="none"/>
              </w:rPr>
            </w:pPr>
            <w:r>
              <w:rPr>
                <w:rFonts w:ascii="Times New Roman" w:hAnsi="黑体" w:eastAsia="黑体"/>
                <w:b/>
                <w:sz w:val="24"/>
                <w:szCs w:val="24"/>
                <w:highlight w:val="none"/>
              </w:rPr>
              <w:t>项目阶段</w:t>
            </w:r>
          </w:p>
        </w:tc>
        <w:tc>
          <w:tcPr>
            <w:tcW w:w="1235" w:type="pct"/>
            <w:tcBorders>
              <w:top w:val="single" w:color="000000" w:sz="12" w:space="0"/>
            </w:tcBorders>
            <w:shd w:val="clear" w:color="auto" w:fill="auto"/>
            <w:vAlign w:val="center"/>
          </w:tcPr>
          <w:p>
            <w:pPr>
              <w:snapToGrid w:val="0"/>
              <w:spacing w:after="0" w:line="240" w:lineRule="auto"/>
              <w:jc w:val="center"/>
              <w:rPr>
                <w:rFonts w:ascii="Times New Roman" w:hAnsi="Times New Roman" w:eastAsia="黑体"/>
                <w:b/>
                <w:sz w:val="24"/>
                <w:szCs w:val="24"/>
                <w:highlight w:val="none"/>
                <w:lang w:eastAsia="zh-TW"/>
              </w:rPr>
            </w:pPr>
            <w:r>
              <w:rPr>
                <w:rFonts w:ascii="Times New Roman" w:hAnsi="黑体" w:eastAsia="黑体"/>
                <w:b/>
                <w:sz w:val="24"/>
                <w:szCs w:val="24"/>
                <w:highlight w:val="none"/>
              </w:rPr>
              <w:t>主要议题</w:t>
            </w:r>
          </w:p>
        </w:tc>
        <w:tc>
          <w:tcPr>
            <w:tcW w:w="1092" w:type="pct"/>
            <w:tcBorders>
              <w:top w:val="single" w:color="000000" w:sz="12" w:space="0"/>
            </w:tcBorders>
            <w:shd w:val="clear" w:color="auto" w:fill="auto"/>
            <w:vAlign w:val="center"/>
          </w:tcPr>
          <w:p>
            <w:pPr>
              <w:snapToGrid w:val="0"/>
              <w:spacing w:after="0" w:line="240" w:lineRule="auto"/>
              <w:jc w:val="center"/>
              <w:rPr>
                <w:rFonts w:ascii="Times New Roman" w:hAnsi="Times New Roman" w:eastAsia="黑体"/>
                <w:b/>
                <w:sz w:val="24"/>
                <w:szCs w:val="24"/>
                <w:highlight w:val="none"/>
              </w:rPr>
            </w:pPr>
            <w:r>
              <w:rPr>
                <w:rFonts w:ascii="Times New Roman" w:hAnsi="黑体" w:eastAsia="黑体"/>
                <w:b/>
                <w:sz w:val="24"/>
                <w:szCs w:val="24"/>
                <w:highlight w:val="none"/>
              </w:rPr>
              <w:t>方法</w:t>
            </w:r>
          </w:p>
        </w:tc>
        <w:tc>
          <w:tcPr>
            <w:tcW w:w="874" w:type="pct"/>
            <w:tcBorders>
              <w:top w:val="single" w:color="000000" w:sz="12" w:space="0"/>
            </w:tcBorders>
            <w:shd w:val="clear" w:color="auto" w:fill="auto"/>
            <w:vAlign w:val="center"/>
          </w:tcPr>
          <w:p>
            <w:pPr>
              <w:snapToGrid w:val="0"/>
              <w:spacing w:after="0" w:line="240" w:lineRule="auto"/>
              <w:jc w:val="center"/>
              <w:rPr>
                <w:rFonts w:ascii="Times New Roman" w:hAnsi="Times New Roman" w:eastAsia="黑体"/>
                <w:b/>
                <w:sz w:val="24"/>
                <w:szCs w:val="24"/>
                <w:highlight w:val="none"/>
              </w:rPr>
            </w:pPr>
            <w:r>
              <w:rPr>
                <w:rFonts w:ascii="Times New Roman" w:hAnsi="黑体" w:eastAsia="黑体"/>
                <w:b/>
                <w:sz w:val="24"/>
                <w:szCs w:val="24"/>
                <w:highlight w:val="none"/>
              </w:rPr>
              <w:t>地点</w:t>
            </w:r>
            <w:r>
              <w:rPr>
                <w:rFonts w:ascii="Times New Roman" w:hAnsi="Times New Roman" w:eastAsia="黑体"/>
                <w:b/>
                <w:sz w:val="24"/>
                <w:szCs w:val="24"/>
                <w:highlight w:val="none"/>
              </w:rPr>
              <w:t>/</w:t>
            </w:r>
            <w:r>
              <w:rPr>
                <w:rFonts w:ascii="Times New Roman" w:hAnsi="黑体" w:eastAsia="黑体"/>
                <w:b/>
                <w:sz w:val="24"/>
                <w:szCs w:val="24"/>
                <w:highlight w:val="none"/>
              </w:rPr>
              <w:t>日期</w:t>
            </w:r>
          </w:p>
        </w:tc>
        <w:tc>
          <w:tcPr>
            <w:tcW w:w="1218" w:type="pct"/>
            <w:tcBorders>
              <w:top w:val="single" w:color="000000" w:sz="12" w:space="0"/>
              <w:right w:val="nil"/>
            </w:tcBorders>
            <w:shd w:val="clear" w:color="auto" w:fill="auto"/>
            <w:vAlign w:val="center"/>
          </w:tcPr>
          <w:p>
            <w:pPr>
              <w:snapToGrid w:val="0"/>
              <w:spacing w:after="0" w:line="240" w:lineRule="auto"/>
              <w:jc w:val="center"/>
              <w:rPr>
                <w:rFonts w:ascii="Times New Roman" w:hAnsi="Times New Roman" w:eastAsia="黑体"/>
                <w:b/>
                <w:sz w:val="24"/>
                <w:szCs w:val="24"/>
                <w:highlight w:val="none"/>
              </w:rPr>
            </w:pPr>
            <w:r>
              <w:rPr>
                <w:rFonts w:ascii="Times New Roman" w:hAnsi="黑体" w:eastAsia="黑体"/>
                <w:b/>
                <w:sz w:val="24"/>
                <w:szCs w:val="24"/>
                <w:highlight w:val="none"/>
              </w:rPr>
              <w:t>组织者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restart"/>
            <w:tcBorders>
              <w:left w:val="nil"/>
            </w:tcBorders>
            <w:shd w:val="clear" w:color="auto" w:fill="auto"/>
            <w:vAlign w:val="center"/>
          </w:tcPr>
          <w:p>
            <w:pPr>
              <w:snapToGrid w:val="0"/>
              <w:spacing w:after="0" w:line="300" w:lineRule="exact"/>
              <w:jc w:val="center"/>
              <w:rPr>
                <w:rFonts w:ascii="Times New Roman" w:hAnsi="Times New Roman" w:eastAsia="仿宋_GB2312"/>
                <w:sz w:val="24"/>
                <w:szCs w:val="24"/>
                <w:highlight w:val="none"/>
              </w:rPr>
            </w:pPr>
          </w:p>
          <w:p>
            <w:pPr>
              <w:snapToGrid w:val="0"/>
              <w:spacing w:before="62" w:beforeLines="20" w:after="0" w:line="240" w:lineRule="auto"/>
              <w:jc w:val="center"/>
              <w:rPr>
                <w:rFonts w:ascii="Times New Roman" w:hAnsi="Times New Roman"/>
                <w:sz w:val="24"/>
                <w:szCs w:val="24"/>
                <w:highlight w:val="none"/>
              </w:rPr>
            </w:pPr>
            <w:r>
              <w:rPr>
                <w:rFonts w:ascii="Times New Roman" w:hAnsi="Times New Roman" w:eastAsia="仿宋_GB2312"/>
                <w:sz w:val="24"/>
                <w:szCs w:val="24"/>
                <w:highlight w:val="none"/>
              </w:rPr>
              <w:t>准备阶段</w:t>
            </w:r>
          </w:p>
          <w:p>
            <w:pPr>
              <w:jc w:val="center"/>
              <w:rPr>
                <w:rFonts w:ascii="Times New Roman" w:hAnsi="Times New Roman"/>
                <w:sz w:val="24"/>
                <w:szCs w:val="24"/>
                <w:highlight w:val="none"/>
              </w:rPr>
            </w:pPr>
          </w:p>
          <w:p>
            <w:pPr>
              <w:pStyle w:val="2"/>
              <w:jc w:val="center"/>
              <w:rPr>
                <w:rFonts w:ascii="Times New Roman" w:hAnsi="Times New Roman"/>
                <w:sz w:val="24"/>
                <w:szCs w:val="24"/>
                <w:highlight w:val="none"/>
              </w:rPr>
            </w:pPr>
          </w:p>
          <w:p>
            <w:pPr>
              <w:rPr>
                <w:rFonts w:ascii="Times New Roman" w:hAnsi="Times New Roman"/>
                <w:sz w:val="24"/>
                <w:szCs w:val="24"/>
                <w:highlight w:val="none"/>
              </w:rPr>
            </w:pPr>
          </w:p>
          <w:p>
            <w:pPr>
              <w:pStyle w:val="2"/>
              <w:jc w:val="center"/>
              <w:rPr>
                <w:rFonts w:ascii="Times New Roman" w:hAnsi="Times New Roman"/>
                <w:sz w:val="24"/>
                <w:szCs w:val="24"/>
                <w:highlight w:val="none"/>
              </w:rPr>
            </w:pPr>
            <w:r>
              <w:rPr>
                <w:rFonts w:ascii="Times New Roman" w:hAnsi="Times New Roman" w:eastAsia="仿宋_GB2312"/>
                <w:sz w:val="24"/>
                <w:szCs w:val="24"/>
                <w:highlight w:val="none"/>
              </w:rPr>
              <w:t>准备阶段</w:t>
            </w:r>
          </w:p>
        </w:tc>
        <w:tc>
          <w:tcPr>
            <w:tcW w:w="1235" w:type="pct"/>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shd w:val="clear" w:color="auto" w:fill="FFFFFF"/>
              </w:rPr>
              <w:t>项目的宣传及普及</w:t>
            </w:r>
          </w:p>
        </w:tc>
        <w:tc>
          <w:tcPr>
            <w:tcW w:w="1092" w:type="pct"/>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各类养老机构日常宣传</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当地学校教育活动</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针对性小型座谈会</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各类新媒体平台</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项目管理办公室</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lang w:eastAsia="zh-TW"/>
              </w:rPr>
              <w:t>社区各类养老机构</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lang w:eastAsia="zh-TW"/>
              </w:rPr>
              <w:t>社区居委会</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项目办</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民委、民政局等相关政府单位</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居家养老站点负责人</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continue"/>
            <w:tcBorders>
              <w:left w:val="nil"/>
            </w:tcBorders>
            <w:shd w:val="clear" w:color="auto" w:fill="auto"/>
            <w:vAlign w:val="center"/>
          </w:tcPr>
          <w:p>
            <w:pPr>
              <w:snapToGrid w:val="0"/>
              <w:spacing w:after="0" w:line="300" w:lineRule="exact"/>
              <w:jc w:val="center"/>
              <w:rPr>
                <w:rFonts w:ascii="Times New Roman" w:hAnsi="Times New Roman" w:eastAsia="仿宋_GB2312"/>
                <w:sz w:val="24"/>
                <w:szCs w:val="24"/>
                <w:highlight w:val="none"/>
              </w:rPr>
            </w:pPr>
          </w:p>
        </w:tc>
        <w:tc>
          <w:tcPr>
            <w:tcW w:w="1235" w:type="pct"/>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弱势群体对项目的建议及期望</w:t>
            </w:r>
          </w:p>
        </w:tc>
        <w:tc>
          <w:tcPr>
            <w:tcW w:w="1092" w:type="pct"/>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各类养老机构日常宣传</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当地学校教育活动</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针对性小型座谈会</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rPr>
              <w:t>各类新媒体平台</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项目管理办公室</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lang w:eastAsia="zh-TW"/>
              </w:rPr>
              <w:t>社区居委会</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项目办</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民委、民政局等相关政府单位</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居家养老站点负责人</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continue"/>
            <w:tcBorders>
              <w:left w:val="nil"/>
              <w:bottom w:val="single" w:color="auto" w:sz="4" w:space="0"/>
            </w:tcBorders>
            <w:shd w:val="clear" w:color="auto" w:fill="auto"/>
            <w:vAlign w:val="center"/>
          </w:tcPr>
          <w:p>
            <w:pPr>
              <w:snapToGrid w:val="0"/>
              <w:spacing w:after="0" w:line="300" w:lineRule="exact"/>
              <w:jc w:val="center"/>
              <w:rPr>
                <w:rFonts w:ascii="Times New Roman" w:hAnsi="Times New Roman" w:eastAsia="仿宋_GB2312"/>
                <w:sz w:val="24"/>
                <w:szCs w:val="24"/>
                <w:highlight w:val="none"/>
              </w:rPr>
            </w:pPr>
          </w:p>
        </w:tc>
        <w:tc>
          <w:tcPr>
            <w:tcW w:w="1235" w:type="pct"/>
            <w:tcBorders>
              <w:bottom w:val="single" w:color="auto" w:sz="4" w:space="0"/>
            </w:tcBorders>
            <w:shd w:val="clear" w:color="auto" w:fill="auto"/>
            <w:vAlign w:val="center"/>
          </w:tcPr>
          <w:p>
            <w:pPr>
              <w:snapToGrid w:val="0"/>
              <w:spacing w:after="0" w:line="300" w:lineRule="exact"/>
              <w:jc w:val="left"/>
              <w:rPr>
                <w:rFonts w:ascii="Times New Roman" w:hAnsi="Times New Roman" w:eastAsia="仿宋_GB2312"/>
                <w:sz w:val="24"/>
                <w:szCs w:val="24"/>
                <w:highlight w:val="none"/>
              </w:rPr>
            </w:pPr>
            <w:r>
              <w:rPr>
                <w:rFonts w:ascii="Times New Roman" w:hAnsi="Times New Roman" w:eastAsia="仿宋_GB2312"/>
                <w:sz w:val="24"/>
                <w:szCs w:val="24"/>
                <w:highlight w:val="none"/>
              </w:rPr>
              <w:t>弱势群体对“全健康”理念的态度</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如何保障弱势群体的个人隐私信息</w:t>
            </w:r>
          </w:p>
        </w:tc>
        <w:tc>
          <w:tcPr>
            <w:tcW w:w="1092" w:type="pct"/>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各类养老机构日常宣传</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当地学校教育活动</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针对性小型座谈会</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各类新媒体平台</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项目管理办公室</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lang w:eastAsia="zh-TW"/>
              </w:rPr>
              <w:t>社区居委会</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项目办</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民委、民政局等相关政府单位</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居家养老站点负责人</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restart"/>
            <w:tcBorders>
              <w:top w:val="single" w:color="auto" w:sz="4" w:space="0"/>
              <w:left w:val="nil"/>
            </w:tcBorders>
            <w:shd w:val="clear" w:color="auto" w:fill="auto"/>
            <w:vAlign w:val="center"/>
          </w:tcPr>
          <w:p>
            <w:pPr>
              <w:snapToGrid w:val="0"/>
              <w:spacing w:after="0" w:line="300" w:lineRule="exact"/>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实施阶段</w:t>
            </w:r>
          </w:p>
        </w:tc>
        <w:tc>
          <w:tcPr>
            <w:tcW w:w="1235" w:type="pct"/>
            <w:shd w:val="clear" w:color="auto" w:fill="auto"/>
            <w:vAlign w:val="center"/>
          </w:tcPr>
          <w:p>
            <w:pPr>
              <w:snapToGrid w:val="0"/>
              <w:spacing w:after="0" w:line="300" w:lineRule="exact"/>
              <w:rPr>
                <w:rFonts w:ascii="Times New Roman" w:hAnsi="Times New Roman" w:eastAsia="仿宋_GB2312"/>
                <w:sz w:val="24"/>
                <w:szCs w:val="24"/>
                <w:highlight w:val="none"/>
                <w:shd w:val="clear" w:color="auto" w:fill="FFFFFF"/>
              </w:rPr>
            </w:pPr>
            <w:r>
              <w:rPr>
                <w:rFonts w:ascii="Times New Roman" w:hAnsi="Times New Roman" w:eastAsia="仿宋_GB2312"/>
                <w:sz w:val="24"/>
                <w:szCs w:val="24"/>
                <w:highlight w:val="none"/>
              </w:rPr>
              <w:t>项目实施过程中可能对弱势群体带来的影响（如“限抗”政策是否会影响贫困人群以及少数民族的收益）</w:t>
            </w:r>
          </w:p>
        </w:tc>
        <w:tc>
          <w:tcPr>
            <w:tcW w:w="1092" w:type="pct"/>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各类养老机构日常宣传</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当地学校教育活动</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针对性小型座谈会</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各类新媒体平台</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项目管理办公室</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社区居委会</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项目办</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民委、民政局等相关政府单位</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居家养老站点负责人</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continue"/>
            <w:tcBorders>
              <w:left w:val="nil"/>
            </w:tcBorders>
            <w:shd w:val="clear" w:color="auto" w:fill="auto"/>
            <w:vAlign w:val="center"/>
          </w:tcPr>
          <w:p>
            <w:pPr>
              <w:snapToGrid w:val="0"/>
              <w:spacing w:after="0" w:line="300" w:lineRule="exact"/>
              <w:jc w:val="center"/>
              <w:rPr>
                <w:rFonts w:ascii="Times New Roman" w:hAnsi="Times New Roman" w:eastAsia="仿宋_GB2312"/>
                <w:sz w:val="24"/>
                <w:szCs w:val="24"/>
                <w:highlight w:val="none"/>
              </w:rPr>
            </w:pPr>
          </w:p>
        </w:tc>
        <w:tc>
          <w:tcPr>
            <w:tcW w:w="1235" w:type="pct"/>
            <w:shd w:val="clear" w:color="auto" w:fill="auto"/>
            <w:vAlign w:val="center"/>
          </w:tcPr>
          <w:p>
            <w:pPr>
              <w:snapToGrid w:val="0"/>
              <w:spacing w:after="0" w:line="300" w:lineRule="exact"/>
              <w:rPr>
                <w:rFonts w:ascii="Times New Roman" w:hAnsi="Times New Roman" w:eastAsia="仿宋_GB2312"/>
                <w:sz w:val="24"/>
                <w:szCs w:val="24"/>
                <w:highlight w:val="none"/>
                <w:shd w:val="clear" w:color="auto" w:fill="FFFFFF"/>
              </w:rPr>
            </w:pPr>
            <w:r>
              <w:rPr>
                <w:rFonts w:ascii="Times New Roman" w:hAnsi="Times New Roman" w:eastAsia="仿宋_GB2312"/>
                <w:sz w:val="24"/>
                <w:szCs w:val="24"/>
                <w:highlight w:val="none"/>
                <w:shd w:val="clear" w:color="auto" w:fill="FFFFFF"/>
              </w:rPr>
              <w:t>各类申诉抱怨</w:t>
            </w:r>
          </w:p>
        </w:tc>
        <w:tc>
          <w:tcPr>
            <w:tcW w:w="1092" w:type="pct"/>
            <w:shd w:val="clear" w:color="auto" w:fill="auto"/>
            <w:vAlign w:val="center"/>
          </w:tcPr>
          <w:p>
            <w:pPr>
              <w:spacing w:after="0" w:line="300" w:lineRule="exact"/>
              <w:jc w:val="lef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lang w:eastAsia="zh-TW"/>
              </w:rPr>
              <w:t>“</w:t>
            </w:r>
            <w:r>
              <w:rPr>
                <w:rFonts w:ascii="Times New Roman" w:hAnsi="Times New Roman" w:eastAsia="仿宋_GB2312"/>
                <w:sz w:val="24"/>
                <w:szCs w:val="24"/>
                <w:highlight w:val="none"/>
              </w:rPr>
              <w:t>12345</w:t>
            </w:r>
            <w:r>
              <w:rPr>
                <w:rFonts w:ascii="Times New Roman" w:hAnsi="Times New Roman" w:eastAsia="仿宋_GB2312"/>
                <w:sz w:val="24"/>
                <w:szCs w:val="24"/>
                <w:highlight w:val="none"/>
                <w:lang w:eastAsia="zh-TW"/>
              </w:rPr>
              <w:t>”热线</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电话</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发邮件</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项目管理办公室</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lang w:eastAsia="zh-TW"/>
              </w:rPr>
              <w:t>社区居委会</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lang w:eastAsia="zh-TW"/>
              </w:rPr>
              <w:t>搭把手公司</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项目办</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民委、民政局等相关政府单位</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continue"/>
            <w:tcBorders>
              <w:left w:val="nil"/>
            </w:tcBorders>
            <w:shd w:val="clear" w:color="auto" w:fill="auto"/>
            <w:vAlign w:val="center"/>
          </w:tcPr>
          <w:p>
            <w:pPr>
              <w:snapToGrid w:val="0"/>
              <w:spacing w:after="0" w:line="300" w:lineRule="exact"/>
              <w:jc w:val="center"/>
              <w:rPr>
                <w:rFonts w:ascii="Times New Roman" w:hAnsi="Times New Roman" w:eastAsia="仿宋_GB2312"/>
                <w:sz w:val="24"/>
                <w:szCs w:val="24"/>
                <w:highlight w:val="none"/>
              </w:rPr>
            </w:pPr>
          </w:p>
        </w:tc>
        <w:tc>
          <w:tcPr>
            <w:tcW w:w="1235" w:type="pct"/>
            <w:shd w:val="clear" w:color="auto" w:fill="auto"/>
            <w:vAlign w:val="center"/>
          </w:tcPr>
          <w:p>
            <w:pPr>
              <w:snapToGrid w:val="0"/>
              <w:spacing w:after="0" w:line="300" w:lineRule="exact"/>
              <w:rPr>
                <w:rFonts w:ascii="Times New Roman" w:hAnsi="Times New Roman" w:eastAsia="仿宋_GB2312"/>
                <w:sz w:val="24"/>
                <w:szCs w:val="24"/>
                <w:highlight w:val="none"/>
                <w:shd w:val="clear" w:color="auto" w:fill="FFFFFF"/>
              </w:rPr>
            </w:pPr>
            <w:r>
              <w:rPr>
                <w:rFonts w:ascii="Times New Roman" w:hAnsi="Times New Roman" w:eastAsia="仿宋_GB2312"/>
                <w:sz w:val="24"/>
                <w:szCs w:val="24"/>
                <w:highlight w:val="none"/>
                <w:shd w:val="clear" w:color="auto" w:fill="FFFFFF"/>
              </w:rPr>
              <w:t>针对弱势群体的培训措施</w:t>
            </w:r>
          </w:p>
        </w:tc>
        <w:tc>
          <w:tcPr>
            <w:tcW w:w="1092" w:type="pct"/>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shd w:val="clear" w:color="auto" w:fill="FFFFFF"/>
              </w:rPr>
              <w:t>针对性小型培训会，并根据弱势群体的需求安排专业培训人员</w:t>
            </w:r>
          </w:p>
        </w:tc>
        <w:tc>
          <w:tcPr>
            <w:tcW w:w="874" w:type="pct"/>
            <w:shd w:val="clear" w:color="auto" w:fill="auto"/>
            <w:vAlign w:val="center"/>
          </w:tcPr>
          <w:p>
            <w:pPr>
              <w:snapToGrid w:val="0"/>
              <w:spacing w:after="0" w:line="300" w:lineRule="exact"/>
              <w:jc w:val="lef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项目管理办公室</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lang w:eastAsia="zh-TW"/>
              </w:rPr>
              <w:t>社区居委会</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rPr>
              <w:t>每年一次</w:t>
            </w:r>
          </w:p>
        </w:tc>
        <w:tc>
          <w:tcPr>
            <w:tcW w:w="1218" w:type="pct"/>
            <w:tcBorders>
              <w:right w:val="nil"/>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项目办</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民委、民政局等相关政府单位</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各类养老机构负责人</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rPr>
              <w:t>街道、社区负责人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 w:type="pct"/>
            <w:vMerge w:val="continue"/>
            <w:tcBorders>
              <w:left w:val="nil"/>
              <w:bottom w:val="single" w:color="000000" w:sz="12" w:space="0"/>
            </w:tcBorders>
            <w:shd w:val="clear" w:color="auto" w:fill="auto"/>
            <w:vAlign w:val="center"/>
          </w:tcPr>
          <w:p>
            <w:pPr>
              <w:snapToGrid w:val="0"/>
              <w:spacing w:after="0" w:line="300" w:lineRule="exact"/>
              <w:jc w:val="center"/>
              <w:rPr>
                <w:rFonts w:ascii="Times New Roman" w:hAnsi="Times New Roman" w:eastAsia="仿宋_GB2312"/>
                <w:sz w:val="24"/>
                <w:szCs w:val="24"/>
                <w:highlight w:val="none"/>
              </w:rPr>
            </w:pPr>
          </w:p>
        </w:tc>
        <w:tc>
          <w:tcPr>
            <w:tcW w:w="1235" w:type="pct"/>
            <w:tcBorders>
              <w:bottom w:val="single" w:color="000000" w:sz="12" w:space="0"/>
            </w:tcBorders>
            <w:shd w:val="clear" w:color="auto" w:fill="auto"/>
            <w:vAlign w:val="center"/>
          </w:tcPr>
          <w:p>
            <w:pPr>
              <w:snapToGrid w:val="0"/>
              <w:spacing w:after="0" w:line="300" w:lineRule="exact"/>
              <w:rPr>
                <w:rFonts w:ascii="Times New Roman" w:hAnsi="Times New Roman" w:eastAsia="仿宋_GB2312"/>
                <w:sz w:val="24"/>
                <w:szCs w:val="24"/>
                <w:highlight w:val="none"/>
                <w:shd w:val="clear" w:color="auto" w:fill="FFFFFF"/>
              </w:rPr>
            </w:pPr>
            <w:r>
              <w:rPr>
                <w:rFonts w:ascii="Times New Roman" w:hAnsi="Times New Roman" w:eastAsia="仿宋_GB2312"/>
                <w:sz w:val="24"/>
                <w:szCs w:val="24"/>
                <w:highlight w:val="none"/>
                <w:shd w:val="clear" w:color="auto" w:fill="FFFFFF"/>
              </w:rPr>
              <w:t>关于弱势群体的工作落实情况</w:t>
            </w:r>
          </w:p>
        </w:tc>
        <w:tc>
          <w:tcPr>
            <w:tcW w:w="1092" w:type="pct"/>
            <w:tcBorders>
              <w:bottom w:val="single" w:color="000000" w:sz="12" w:space="0"/>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座谈会</w:t>
            </w:r>
          </w:p>
        </w:tc>
        <w:tc>
          <w:tcPr>
            <w:tcW w:w="874" w:type="pct"/>
            <w:tcBorders>
              <w:bottom w:val="single" w:color="000000" w:sz="12" w:space="0"/>
            </w:tcBorders>
            <w:shd w:val="clear" w:color="auto" w:fill="auto"/>
            <w:vAlign w:val="center"/>
          </w:tcPr>
          <w:p>
            <w:pPr>
              <w:snapToGrid w:val="0"/>
              <w:spacing w:after="0" w:line="300" w:lineRule="exact"/>
              <w:jc w:val="left"/>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项目管理办公室</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lang w:eastAsia="zh-TW"/>
              </w:rPr>
              <w:t>社区居委会</w:t>
            </w:r>
          </w:p>
          <w:p>
            <w:pPr>
              <w:snapToGrid w:val="0"/>
              <w:spacing w:after="0" w:line="300" w:lineRule="exact"/>
              <w:rPr>
                <w:rFonts w:ascii="Times New Roman" w:hAnsi="Times New Roman" w:eastAsia="仿宋_GB2312"/>
                <w:sz w:val="24"/>
                <w:szCs w:val="24"/>
                <w:highlight w:val="none"/>
                <w:lang w:eastAsia="zh-TW"/>
              </w:rPr>
            </w:pPr>
            <w:r>
              <w:rPr>
                <w:rFonts w:ascii="Times New Roman" w:hAnsi="Times New Roman" w:eastAsia="仿宋_GB2312"/>
                <w:sz w:val="24"/>
                <w:szCs w:val="24"/>
                <w:highlight w:val="none"/>
              </w:rPr>
              <w:t>每年一次</w:t>
            </w:r>
          </w:p>
        </w:tc>
        <w:tc>
          <w:tcPr>
            <w:tcW w:w="1218" w:type="pct"/>
            <w:tcBorders>
              <w:bottom w:val="single" w:color="000000" w:sz="12" w:space="0"/>
              <w:right w:val="nil"/>
            </w:tcBorders>
            <w:shd w:val="clear" w:color="auto" w:fill="auto"/>
            <w:vAlign w:val="center"/>
          </w:tcPr>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项目办</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民委、民政局等相关政府单位</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各类养老机构负责人</w:t>
            </w:r>
          </w:p>
          <w:p>
            <w:pPr>
              <w:snapToGrid w:val="0"/>
              <w:spacing w:after="0" w:line="300" w:lineRule="exact"/>
              <w:rPr>
                <w:rFonts w:ascii="Times New Roman" w:hAnsi="Times New Roman" w:eastAsia="仿宋_GB2312"/>
                <w:sz w:val="24"/>
                <w:szCs w:val="24"/>
                <w:highlight w:val="none"/>
              </w:rPr>
            </w:pPr>
            <w:r>
              <w:rPr>
                <w:rFonts w:ascii="Times New Roman" w:hAnsi="Times New Roman" w:eastAsia="仿宋_GB2312"/>
                <w:sz w:val="24"/>
                <w:szCs w:val="24"/>
                <w:highlight w:val="none"/>
              </w:rPr>
              <w:t>街道、社区负责人</w:t>
            </w:r>
          </w:p>
        </w:tc>
      </w:tr>
    </w:tbl>
    <w:p>
      <w:pPr>
        <w:rPr>
          <w:rFonts w:ascii="Times New Roman" w:hAnsi="Times New Roman"/>
          <w:sz w:val="18"/>
          <w:szCs w:val="18"/>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before="0" w:after="0" w:line="360" w:lineRule="auto"/>
        <w:ind w:left="0" w:firstLine="0"/>
        <w:jc w:val="both"/>
        <w:rPr>
          <w:rFonts w:ascii="Times New Roman" w:hAnsi="Times New Roman" w:eastAsia="楷体_GB2312" w:cs="Times New Roman"/>
          <w:bCs w:val="0"/>
          <w:highlight w:val="none"/>
        </w:rPr>
      </w:pPr>
      <w:bookmarkStart w:id="42" w:name="_Toc877516176"/>
      <w:bookmarkStart w:id="43" w:name="_Toc56758916"/>
      <w:bookmarkStart w:id="44" w:name="_Toc57415929"/>
      <w:r>
        <w:rPr>
          <w:rFonts w:ascii="Times New Roman" w:hAnsi="Times New Roman" w:eastAsia="楷体_GB2312" w:cs="Times New Roman"/>
          <w:bCs w:val="0"/>
          <w:highlight w:val="none"/>
        </w:rPr>
        <w:t xml:space="preserve"> 时间表</w:t>
      </w:r>
      <w:bookmarkEnd w:id="42"/>
      <w:bookmarkEnd w:id="43"/>
      <w:bookmarkEnd w:id="44"/>
    </w:p>
    <w:p>
      <w:pPr>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如前所述，大部分拟议的子项目活动目前在概念阶段，尚未制定详细的实施方案及时间表，因此，项目利益方参与不能制定详细实施计划。但项目信息公开及利益相关方参与将遵循本计划的基本策略。随着更多的子项目信息变得清晰，项目办按照项目实施计划制定详细的利益相关方参与实施时间表。表3-4列出了第一批信息发布和反馈的主要时间节点的原则性要求。</w:t>
      </w:r>
    </w:p>
    <w:p>
      <w:pPr>
        <w:pStyle w:val="12"/>
        <w:spacing w:after="0" w:line="400" w:lineRule="exact"/>
        <w:jc w:val="center"/>
        <w:rPr>
          <w:rFonts w:ascii="Times New Roman" w:hAnsi="Times New Roman" w:cs="Times New Roman"/>
          <w:kern w:val="0"/>
          <w:sz w:val="28"/>
          <w:szCs w:val="28"/>
          <w:highlight w:val="none"/>
        </w:rPr>
      </w:pPr>
      <w:bookmarkStart w:id="45" w:name="_Toc65281255"/>
      <w:r>
        <w:rPr>
          <w:rFonts w:ascii="Times New Roman" w:hAnsi="黑体" w:cs="Times New Roman"/>
          <w:kern w:val="0"/>
          <w:sz w:val="28"/>
          <w:szCs w:val="28"/>
          <w:highlight w:val="none"/>
        </w:rPr>
        <w:t>表</w:t>
      </w:r>
      <w:r>
        <w:rPr>
          <w:rFonts w:ascii="Times New Roman" w:hAnsi="Times New Roman" w:cs="Times New Roman"/>
          <w:kern w:val="0"/>
          <w:sz w:val="28"/>
          <w:szCs w:val="28"/>
          <w:highlight w:val="none"/>
        </w:rPr>
        <w:t xml:space="preserve">3-4 </w:t>
      </w:r>
      <w:r>
        <w:rPr>
          <w:rFonts w:ascii="Times New Roman" w:hAnsi="黑体" w:cs="Times New Roman"/>
          <w:kern w:val="0"/>
          <w:sz w:val="28"/>
          <w:szCs w:val="28"/>
          <w:highlight w:val="none"/>
        </w:rPr>
        <w:t>利益相关方</w:t>
      </w:r>
      <w:r>
        <w:rPr>
          <w:rFonts w:hint="eastAsia" w:ascii="Times New Roman" w:hAnsi="黑体" w:cs="Times New Roman"/>
          <w:kern w:val="0"/>
          <w:sz w:val="28"/>
          <w:szCs w:val="28"/>
          <w:highlight w:val="none"/>
          <w:lang w:eastAsia="zh-CN"/>
        </w:rPr>
        <w:t>参与计划</w:t>
      </w:r>
      <w:r>
        <w:rPr>
          <w:rFonts w:ascii="Times New Roman" w:hAnsi="黑体" w:cs="Times New Roman"/>
          <w:kern w:val="0"/>
          <w:sz w:val="28"/>
          <w:szCs w:val="28"/>
          <w:highlight w:val="none"/>
        </w:rPr>
        <w:t>表</w:t>
      </w:r>
      <w:bookmarkEnd w:id="45"/>
    </w:p>
    <w:tbl>
      <w:tblPr>
        <w:tblStyle w:val="26"/>
        <w:tblpPr w:leftFromText="180" w:rightFromText="180" w:vertAnchor="text" w:horzAnchor="margin" w:tblpXSpec="center" w:tblpY="121"/>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33"/>
        <w:gridCol w:w="4053"/>
        <w:gridCol w:w="1113"/>
        <w:gridCol w:w="242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3" w:hRule="atLeast"/>
          <w:tblHeader/>
        </w:trPr>
        <w:tc>
          <w:tcPr>
            <w:tcW w:w="547" w:type="pct"/>
            <w:shd w:val="clear" w:color="auto" w:fill="auto"/>
            <w:vAlign w:val="center"/>
          </w:tcPr>
          <w:p>
            <w:pPr>
              <w:widowControl/>
              <w:snapToGrid w:val="0"/>
              <w:spacing w:after="0" w:line="300" w:lineRule="exact"/>
              <w:jc w:val="center"/>
              <w:rPr>
                <w:rFonts w:ascii="Times New Roman" w:hAnsi="黑体" w:eastAsia="黑体"/>
                <w:bCs/>
                <w:kern w:val="0"/>
                <w:sz w:val="24"/>
                <w:szCs w:val="24"/>
                <w:highlight w:val="none"/>
              </w:rPr>
            </w:pPr>
            <w:r>
              <w:rPr>
                <w:rFonts w:ascii="Times New Roman" w:hAnsi="黑体" w:eastAsia="黑体"/>
                <w:bCs/>
                <w:kern w:val="0"/>
                <w:sz w:val="24"/>
                <w:szCs w:val="24"/>
                <w:highlight w:val="none"/>
              </w:rPr>
              <w:t>项目</w:t>
            </w:r>
          </w:p>
          <w:p>
            <w:pPr>
              <w:widowControl/>
              <w:snapToGrid w:val="0"/>
              <w:spacing w:after="0" w:line="300" w:lineRule="exact"/>
              <w:jc w:val="center"/>
              <w:rPr>
                <w:rFonts w:ascii="Times New Roman" w:hAnsi="Times New Roman" w:eastAsia="黑体"/>
                <w:bCs/>
                <w:kern w:val="0"/>
                <w:sz w:val="24"/>
                <w:szCs w:val="24"/>
                <w:highlight w:val="none"/>
              </w:rPr>
            </w:pPr>
            <w:r>
              <w:rPr>
                <w:rFonts w:ascii="Times New Roman" w:hAnsi="黑体" w:eastAsia="黑体"/>
                <w:bCs/>
                <w:kern w:val="0"/>
                <w:sz w:val="24"/>
                <w:szCs w:val="24"/>
                <w:highlight w:val="none"/>
              </w:rPr>
              <w:t>阶段</w:t>
            </w:r>
          </w:p>
        </w:tc>
        <w:tc>
          <w:tcPr>
            <w:tcW w:w="2377" w:type="pct"/>
            <w:shd w:val="clear" w:color="auto" w:fill="auto"/>
            <w:vAlign w:val="center"/>
          </w:tcPr>
          <w:p>
            <w:pPr>
              <w:widowControl/>
              <w:snapToGrid w:val="0"/>
              <w:spacing w:after="0" w:line="300" w:lineRule="exact"/>
              <w:jc w:val="center"/>
              <w:rPr>
                <w:rFonts w:ascii="Times New Roman" w:hAnsi="Times New Roman" w:eastAsia="黑体"/>
                <w:bCs/>
                <w:kern w:val="0"/>
                <w:sz w:val="24"/>
                <w:szCs w:val="24"/>
                <w:highlight w:val="none"/>
              </w:rPr>
            </w:pPr>
            <w:r>
              <w:rPr>
                <w:rFonts w:hint="eastAsia" w:ascii="Times New Roman" w:hAnsi="黑体" w:eastAsia="黑体"/>
                <w:bCs/>
                <w:kern w:val="0"/>
                <w:sz w:val="24"/>
                <w:szCs w:val="24"/>
                <w:highlight w:val="none"/>
                <w:lang w:eastAsia="zh-CN"/>
              </w:rPr>
              <w:t>发布的</w:t>
            </w:r>
            <w:r>
              <w:rPr>
                <w:rFonts w:ascii="Times New Roman" w:hAnsi="黑体" w:eastAsia="黑体"/>
                <w:bCs/>
                <w:kern w:val="0"/>
                <w:sz w:val="24"/>
                <w:szCs w:val="24"/>
                <w:highlight w:val="none"/>
              </w:rPr>
              <w:t>信息</w:t>
            </w:r>
          </w:p>
        </w:tc>
        <w:tc>
          <w:tcPr>
            <w:tcW w:w="653" w:type="pct"/>
            <w:shd w:val="clear" w:color="auto" w:fill="auto"/>
            <w:vAlign w:val="center"/>
          </w:tcPr>
          <w:p>
            <w:pPr>
              <w:widowControl/>
              <w:snapToGrid w:val="0"/>
              <w:spacing w:after="0" w:line="300" w:lineRule="exact"/>
              <w:jc w:val="center"/>
              <w:rPr>
                <w:rFonts w:ascii="Times New Roman" w:hAnsi="Times New Roman" w:eastAsia="黑体"/>
                <w:bCs/>
                <w:kern w:val="0"/>
                <w:sz w:val="24"/>
                <w:szCs w:val="24"/>
                <w:highlight w:val="none"/>
              </w:rPr>
            </w:pPr>
            <w:r>
              <w:rPr>
                <w:rFonts w:ascii="Times New Roman" w:hAnsi="黑体" w:eastAsia="黑体"/>
                <w:bCs/>
                <w:kern w:val="0"/>
                <w:sz w:val="24"/>
                <w:szCs w:val="24"/>
                <w:highlight w:val="none"/>
              </w:rPr>
              <w:t>时间</w:t>
            </w:r>
          </w:p>
        </w:tc>
        <w:tc>
          <w:tcPr>
            <w:tcW w:w="1421" w:type="pct"/>
            <w:shd w:val="clear" w:color="auto" w:fill="auto"/>
            <w:vAlign w:val="center"/>
          </w:tcPr>
          <w:p>
            <w:pPr>
              <w:widowControl/>
              <w:snapToGrid w:val="0"/>
              <w:spacing w:after="0" w:line="300" w:lineRule="exact"/>
              <w:jc w:val="center"/>
              <w:rPr>
                <w:rFonts w:ascii="Times New Roman" w:hAnsi="Times New Roman" w:eastAsia="黑体"/>
                <w:bCs/>
                <w:kern w:val="0"/>
                <w:sz w:val="24"/>
                <w:szCs w:val="24"/>
                <w:highlight w:val="none"/>
              </w:rPr>
            </w:pPr>
            <w:r>
              <w:rPr>
                <w:rFonts w:ascii="Times New Roman" w:hAnsi="黑体" w:eastAsia="黑体"/>
                <w:bCs/>
                <w:kern w:val="0"/>
                <w:sz w:val="24"/>
                <w:szCs w:val="24"/>
                <w:highlight w:val="none"/>
              </w:rPr>
              <w:t>反馈意见和</w:t>
            </w:r>
            <w:r>
              <w:rPr>
                <w:rFonts w:hint="eastAsia" w:ascii="Times New Roman" w:hAnsi="黑体" w:eastAsia="黑体"/>
                <w:bCs/>
                <w:kern w:val="0"/>
                <w:sz w:val="24"/>
                <w:szCs w:val="24"/>
                <w:highlight w:val="none"/>
                <w:lang w:eastAsia="zh-CN"/>
              </w:rPr>
              <w:t>对意见形成</w:t>
            </w:r>
            <w:r>
              <w:rPr>
                <w:rFonts w:ascii="Times New Roman" w:hAnsi="黑体" w:eastAsia="黑体"/>
                <w:bCs/>
                <w:kern w:val="0"/>
                <w:sz w:val="24"/>
                <w:szCs w:val="24"/>
                <w:highlight w:val="none"/>
              </w:rPr>
              <w:t>决策</w:t>
            </w:r>
            <w:r>
              <w:rPr>
                <w:rFonts w:hint="eastAsia" w:ascii="Times New Roman" w:hAnsi="黑体" w:eastAsia="黑体"/>
                <w:bCs/>
                <w:kern w:val="0"/>
                <w:sz w:val="24"/>
                <w:szCs w:val="24"/>
                <w:highlight w:val="none"/>
                <w:lang w:eastAsia="zh-CN"/>
              </w:rPr>
              <w:t>的</w:t>
            </w:r>
            <w:r>
              <w:rPr>
                <w:rFonts w:ascii="Times New Roman" w:hAnsi="黑体" w:eastAsia="黑体"/>
                <w:bCs/>
                <w:kern w:val="0"/>
                <w:sz w:val="24"/>
                <w:szCs w:val="24"/>
                <w:highlight w:val="none"/>
              </w:rPr>
              <w:t>截止日期</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547"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准备</w:t>
            </w:r>
          </w:p>
          <w:p>
            <w:pPr>
              <w:widowControl/>
              <w:snapToGrid w:val="0"/>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阶段</w:t>
            </w:r>
          </w:p>
        </w:tc>
        <w:tc>
          <w:tcPr>
            <w:tcW w:w="2377" w:type="pct"/>
            <w:shd w:val="clear" w:color="auto" w:fill="auto"/>
            <w:vAlign w:val="center"/>
          </w:tcPr>
          <w:p>
            <w:pPr>
              <w:widowControl/>
              <w:snapToGrid w:val="0"/>
              <w:spacing w:after="0" w:line="30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项目信息（主要包括项目性质、规模、持续时间等）、利益相关者参与计划（SEP）等</w:t>
            </w:r>
          </w:p>
        </w:tc>
        <w:tc>
          <w:tcPr>
            <w:tcW w:w="653"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20</w:t>
            </w:r>
            <w:r>
              <w:rPr>
                <w:rFonts w:ascii="Times New Roman" w:hAnsi="Times New Roman" w:eastAsia="仿宋_GB2312"/>
                <w:kern w:val="0"/>
                <w:sz w:val="24"/>
                <w:szCs w:val="24"/>
                <w:highlight w:val="none"/>
                <w:lang w:eastAsia="zh-TW"/>
              </w:rPr>
              <w:t>2</w:t>
            </w:r>
            <w:r>
              <w:rPr>
                <w:rFonts w:ascii="Times New Roman" w:hAnsi="Times New Roman" w:eastAsia="仿宋_GB2312"/>
                <w:kern w:val="0"/>
                <w:sz w:val="24"/>
                <w:szCs w:val="24"/>
                <w:highlight w:val="none"/>
              </w:rPr>
              <w:t>2年</w:t>
            </w:r>
          </w:p>
        </w:tc>
        <w:tc>
          <w:tcPr>
            <w:tcW w:w="1421" w:type="pct"/>
            <w:shd w:val="clear" w:color="auto" w:fill="auto"/>
            <w:vAlign w:val="center"/>
          </w:tcPr>
          <w:p>
            <w:pPr>
              <w:widowControl/>
              <w:snapToGrid w:val="0"/>
              <w:spacing w:after="0" w:line="300" w:lineRule="exact"/>
              <w:ind w:right="132" w:rightChars="63"/>
              <w:jc w:val="center"/>
              <w:rPr>
                <w:rFonts w:ascii="Times New Roman" w:hAnsi="Times New Roman" w:eastAsia="仿宋_GB2312"/>
                <w:kern w:val="0"/>
                <w:sz w:val="24"/>
                <w:szCs w:val="24"/>
                <w:highlight w:val="none"/>
                <w:lang w:eastAsia="zh-TW"/>
              </w:rPr>
            </w:pPr>
            <w:r>
              <w:rPr>
                <w:rFonts w:ascii="Times New Roman" w:hAnsi="Times New Roman" w:eastAsia="仿宋_GB2312"/>
                <w:kern w:val="0"/>
                <w:sz w:val="24"/>
                <w:szCs w:val="24"/>
                <w:highlight w:val="none"/>
              </w:rPr>
              <w:t>2</w:t>
            </w:r>
            <w:r>
              <w:rPr>
                <w:rFonts w:ascii="Times New Roman" w:hAnsi="Times New Roman" w:eastAsia="仿宋_GB2312"/>
                <w:kern w:val="0"/>
                <w:sz w:val="24"/>
                <w:szCs w:val="24"/>
                <w:highlight w:val="none"/>
                <w:lang w:eastAsia="zh-TW"/>
              </w:rPr>
              <w:t>02</w:t>
            </w:r>
            <w:r>
              <w:rPr>
                <w:rFonts w:ascii="Times New Roman" w:hAnsi="Times New Roman" w:eastAsia="仿宋_GB2312"/>
                <w:kern w:val="0"/>
                <w:sz w:val="24"/>
                <w:szCs w:val="24"/>
                <w:highlight w:val="none"/>
              </w:rPr>
              <w:t>2</w:t>
            </w:r>
            <w:r>
              <w:rPr>
                <w:rFonts w:ascii="Times New Roman" w:hAnsi="Times New Roman" w:eastAsia="仿宋_GB2312"/>
                <w:kern w:val="0"/>
                <w:sz w:val="24"/>
                <w:szCs w:val="24"/>
                <w:highlight w:val="none"/>
                <w:lang w:eastAsia="zh-TW"/>
              </w:rPr>
              <w:t>年</w:t>
            </w:r>
            <w:r>
              <w:rPr>
                <w:rFonts w:ascii="Times New Roman" w:hAnsi="Times New Roman" w:eastAsia="仿宋_GB2312"/>
                <w:kern w:val="0"/>
                <w:sz w:val="24"/>
                <w:szCs w:val="24"/>
                <w:highlight w:val="none"/>
              </w:rPr>
              <w:t>12</w:t>
            </w:r>
            <w:r>
              <w:rPr>
                <w:rFonts w:ascii="Times New Roman" w:hAnsi="Times New Roman" w:eastAsia="仿宋_GB2312"/>
                <w:kern w:val="0"/>
                <w:sz w:val="24"/>
                <w:szCs w:val="24"/>
                <w:highlight w:val="none"/>
                <w:lang w:eastAsia="zh-TW"/>
              </w:rPr>
              <w:t>月</w:t>
            </w:r>
            <w:r>
              <w:rPr>
                <w:rFonts w:ascii="Times New Roman" w:hAnsi="Times New Roman" w:eastAsia="仿宋_GB2312"/>
                <w:kern w:val="0"/>
                <w:sz w:val="24"/>
                <w:szCs w:val="24"/>
                <w:highlight w:val="none"/>
              </w:rPr>
              <w:t>3</w:t>
            </w:r>
            <w:r>
              <w:rPr>
                <w:rFonts w:ascii="Times New Roman" w:hAnsi="Times New Roman" w:eastAsia="仿宋_GB2312"/>
                <w:kern w:val="0"/>
                <w:sz w:val="24"/>
                <w:szCs w:val="24"/>
                <w:highlight w:val="none"/>
                <w:lang w:eastAsia="zh-TW"/>
              </w:rPr>
              <w:t>1日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547"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实施</w:t>
            </w:r>
          </w:p>
          <w:p>
            <w:pPr>
              <w:widowControl/>
              <w:snapToGrid w:val="0"/>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阶段</w:t>
            </w:r>
          </w:p>
        </w:tc>
        <w:tc>
          <w:tcPr>
            <w:tcW w:w="2377" w:type="pct"/>
            <w:shd w:val="clear" w:color="auto" w:fill="auto"/>
            <w:vAlign w:val="center"/>
          </w:tcPr>
          <w:p>
            <w:pPr>
              <w:widowControl/>
              <w:snapToGrid w:val="0"/>
              <w:spacing w:after="0" w:line="30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项目实施进展信息、环境和社会相关措施实施情况、抱怨申诉及处理、项目绩效及环境社会绩效报告</w:t>
            </w:r>
          </w:p>
        </w:tc>
        <w:tc>
          <w:tcPr>
            <w:tcW w:w="653"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highlight w:val="none"/>
                <w:lang w:eastAsia="zh-TW"/>
              </w:rPr>
            </w:pPr>
            <w:r>
              <w:rPr>
                <w:rFonts w:ascii="Times New Roman" w:hAnsi="Times New Roman" w:eastAsia="仿宋_GB2312"/>
                <w:kern w:val="0"/>
                <w:sz w:val="24"/>
                <w:szCs w:val="24"/>
                <w:highlight w:val="none"/>
              </w:rPr>
              <w:t>2</w:t>
            </w:r>
            <w:r>
              <w:rPr>
                <w:rFonts w:ascii="Times New Roman" w:hAnsi="Times New Roman" w:eastAsia="仿宋_GB2312"/>
                <w:kern w:val="0"/>
                <w:sz w:val="24"/>
                <w:szCs w:val="24"/>
                <w:highlight w:val="none"/>
                <w:lang w:eastAsia="zh-TW"/>
              </w:rPr>
              <w:t>02</w:t>
            </w:r>
            <w:r>
              <w:rPr>
                <w:rFonts w:ascii="Times New Roman" w:hAnsi="Times New Roman" w:eastAsia="仿宋_GB2312"/>
                <w:kern w:val="0"/>
                <w:sz w:val="24"/>
                <w:szCs w:val="24"/>
                <w:highlight w:val="none"/>
              </w:rPr>
              <w:t>2</w:t>
            </w:r>
            <w:r>
              <w:rPr>
                <w:rFonts w:ascii="Times New Roman" w:hAnsi="Times New Roman" w:eastAsia="仿宋_GB2312"/>
                <w:kern w:val="0"/>
                <w:sz w:val="24"/>
                <w:szCs w:val="24"/>
                <w:highlight w:val="none"/>
                <w:lang w:eastAsia="zh-TW"/>
              </w:rPr>
              <w:t>年</w:t>
            </w:r>
          </w:p>
        </w:tc>
        <w:tc>
          <w:tcPr>
            <w:tcW w:w="1421"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highlight w:val="none"/>
                <w:lang w:eastAsia="zh-TW"/>
              </w:rPr>
            </w:pPr>
            <w:r>
              <w:rPr>
                <w:rFonts w:ascii="Times New Roman" w:hAnsi="Times New Roman" w:eastAsia="仿宋_GB2312"/>
                <w:kern w:val="0"/>
                <w:sz w:val="24"/>
                <w:szCs w:val="24"/>
                <w:highlight w:val="none"/>
              </w:rPr>
              <w:t>2022年1</w:t>
            </w:r>
            <w:r>
              <w:rPr>
                <w:rFonts w:ascii="Times New Roman" w:hAnsi="Times New Roman" w:eastAsia="仿宋_GB2312"/>
                <w:kern w:val="0"/>
                <w:sz w:val="24"/>
                <w:szCs w:val="24"/>
                <w:highlight w:val="none"/>
                <w:lang w:eastAsia="zh-TW"/>
              </w:rPr>
              <w:t>2月</w:t>
            </w:r>
            <w:r>
              <w:rPr>
                <w:rFonts w:ascii="Times New Roman" w:hAnsi="Times New Roman" w:eastAsia="仿宋_GB2312"/>
                <w:kern w:val="0"/>
                <w:sz w:val="24"/>
                <w:szCs w:val="24"/>
                <w:highlight w:val="none"/>
              </w:rPr>
              <w:t>3</w:t>
            </w:r>
            <w:r>
              <w:rPr>
                <w:rFonts w:ascii="Times New Roman" w:hAnsi="Times New Roman" w:eastAsia="仿宋_GB2312"/>
                <w:kern w:val="0"/>
                <w:sz w:val="24"/>
                <w:szCs w:val="24"/>
                <w:highlight w:val="none"/>
                <w:lang w:eastAsia="zh-TW"/>
              </w:rPr>
              <w:t>1日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547"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运营</w:t>
            </w:r>
          </w:p>
          <w:p>
            <w:pPr>
              <w:widowControl/>
              <w:snapToGrid w:val="0"/>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阶段</w:t>
            </w:r>
          </w:p>
        </w:tc>
        <w:tc>
          <w:tcPr>
            <w:tcW w:w="2377" w:type="pct"/>
            <w:shd w:val="clear" w:color="auto" w:fill="auto"/>
            <w:vAlign w:val="center"/>
          </w:tcPr>
          <w:p>
            <w:pPr>
              <w:widowControl/>
              <w:snapToGrid w:val="0"/>
              <w:spacing w:after="0" w:line="300" w:lineRule="exact"/>
              <w:jc w:val="left"/>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项目运营情况、抱怨申诉及处理、项目绩效及环境社会绩效报告</w:t>
            </w:r>
          </w:p>
        </w:tc>
        <w:tc>
          <w:tcPr>
            <w:tcW w:w="653"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highlight w:val="none"/>
                <w:lang w:eastAsia="zh-TW"/>
              </w:rPr>
            </w:pPr>
            <w:r>
              <w:rPr>
                <w:rFonts w:ascii="Times New Roman" w:hAnsi="Times New Roman" w:eastAsia="仿宋_GB2312"/>
                <w:kern w:val="0"/>
                <w:sz w:val="24"/>
                <w:szCs w:val="24"/>
                <w:highlight w:val="none"/>
              </w:rPr>
              <w:t>2</w:t>
            </w:r>
            <w:r>
              <w:rPr>
                <w:rFonts w:ascii="Times New Roman" w:hAnsi="Times New Roman" w:eastAsia="仿宋_GB2312"/>
                <w:kern w:val="0"/>
                <w:sz w:val="24"/>
                <w:szCs w:val="24"/>
                <w:highlight w:val="none"/>
                <w:lang w:eastAsia="zh-TW"/>
              </w:rPr>
              <w:t>02</w:t>
            </w:r>
            <w:r>
              <w:rPr>
                <w:rFonts w:ascii="Times New Roman" w:hAnsi="Times New Roman" w:eastAsia="仿宋_GB2312"/>
                <w:kern w:val="0"/>
                <w:sz w:val="24"/>
                <w:szCs w:val="24"/>
                <w:highlight w:val="none"/>
              </w:rPr>
              <w:t>3</w:t>
            </w:r>
            <w:r>
              <w:rPr>
                <w:rFonts w:ascii="Times New Roman" w:hAnsi="Times New Roman" w:eastAsia="仿宋_GB2312"/>
                <w:kern w:val="0"/>
                <w:sz w:val="24"/>
                <w:szCs w:val="24"/>
                <w:highlight w:val="none"/>
                <w:lang w:eastAsia="zh-TW"/>
              </w:rPr>
              <w:t>年</w:t>
            </w:r>
          </w:p>
        </w:tc>
        <w:tc>
          <w:tcPr>
            <w:tcW w:w="1421" w:type="pct"/>
            <w:shd w:val="clear" w:color="auto" w:fill="auto"/>
            <w:vAlign w:val="center"/>
          </w:tcPr>
          <w:p>
            <w:pPr>
              <w:widowControl/>
              <w:snapToGrid w:val="0"/>
              <w:spacing w:after="0" w:line="300" w:lineRule="exact"/>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2023年1</w:t>
            </w:r>
            <w:r>
              <w:rPr>
                <w:rFonts w:ascii="Times New Roman" w:hAnsi="Times New Roman" w:eastAsia="仿宋_GB2312"/>
                <w:kern w:val="0"/>
                <w:sz w:val="24"/>
                <w:szCs w:val="24"/>
                <w:highlight w:val="none"/>
                <w:lang w:eastAsia="zh-TW"/>
              </w:rPr>
              <w:t>2月</w:t>
            </w:r>
            <w:r>
              <w:rPr>
                <w:rFonts w:ascii="Times New Roman" w:hAnsi="Times New Roman" w:eastAsia="仿宋_GB2312"/>
                <w:kern w:val="0"/>
                <w:sz w:val="24"/>
                <w:szCs w:val="24"/>
                <w:highlight w:val="none"/>
              </w:rPr>
              <w:t>3</w:t>
            </w:r>
            <w:r>
              <w:rPr>
                <w:rFonts w:ascii="Times New Roman" w:hAnsi="Times New Roman" w:eastAsia="仿宋_GB2312"/>
                <w:kern w:val="0"/>
                <w:sz w:val="24"/>
                <w:szCs w:val="24"/>
                <w:highlight w:val="none"/>
                <w:lang w:eastAsia="zh-TW"/>
              </w:rPr>
              <w:t>1日</w:t>
            </w:r>
          </w:p>
        </w:tc>
      </w:tr>
    </w:tbl>
    <w:p>
      <w:pPr>
        <w:pStyle w:val="4"/>
        <w:tabs>
          <w:tab w:val="left" w:pos="720"/>
        </w:tabs>
        <w:spacing w:before="312" w:beforeLines="100" w:after="0" w:line="240" w:lineRule="auto"/>
        <w:ind w:left="0" w:firstLine="0"/>
        <w:jc w:val="both"/>
        <w:rPr>
          <w:rFonts w:ascii="Times New Roman" w:hAnsi="Times New Roman" w:eastAsia="楷体_GB2312" w:cs="Times New Roman"/>
          <w:bCs w:val="0"/>
          <w:highlight w:val="none"/>
        </w:rPr>
      </w:pPr>
      <w:bookmarkStart w:id="46" w:name="_Toc39333241"/>
      <w:bookmarkStart w:id="47" w:name="_Toc57415930"/>
      <w:r>
        <w:rPr>
          <w:rFonts w:ascii="Times New Roman" w:hAnsi="Times New Roman" w:eastAsia="楷体_GB2312" w:cs="Times New Roman"/>
          <w:bCs w:val="0"/>
          <w:highlight w:val="none"/>
        </w:rPr>
        <w:t>意见审核</w:t>
      </w:r>
      <w:bookmarkEnd w:id="46"/>
      <w:bookmarkEnd w:id="47"/>
    </w:p>
    <w:p>
      <w:pPr>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针对利益相关者提出的相关意见与建议，无论是问卷还是访谈得来的建议，项目办均会记录在案。意见的采纳情况将在项目半年度环境和社会环境监测报告中进行描述，并向公众反馈和公开。</w:t>
      </w:r>
    </w:p>
    <w:p>
      <w:pPr>
        <w:widowControl/>
        <w:spacing w:after="0" w:line="240" w:lineRule="auto"/>
        <w:ind w:firstLine="640" w:firstLineChars="200"/>
        <w:rPr>
          <w:rFonts w:ascii="Times New Roman" w:hAnsi="Times New Roman" w:eastAsia="宋体"/>
          <w:kern w:val="0"/>
          <w:sz w:val="32"/>
          <w:szCs w:val="32"/>
          <w:highlight w:val="none"/>
        </w:rPr>
      </w:pPr>
      <w:r>
        <w:rPr>
          <w:rFonts w:ascii="Times New Roman" w:hAnsi="Times New Roman" w:eastAsia="仿宋_GB2312"/>
          <w:kern w:val="0"/>
          <w:sz w:val="32"/>
          <w:szCs w:val="32"/>
          <w:highlight w:val="none"/>
        </w:rPr>
        <w:t>针对</w:t>
      </w:r>
      <w:r>
        <w:rPr>
          <w:rFonts w:ascii="Times New Roman" w:hAnsi="Times New Roman" w:eastAsia="仿宋_GB2312"/>
          <w:b/>
          <w:bCs/>
          <w:kern w:val="0"/>
          <w:sz w:val="32"/>
          <w:szCs w:val="32"/>
          <w:highlight w:val="none"/>
          <w:u w:val="single"/>
        </w:rPr>
        <w:t>项目准备阶段</w:t>
      </w:r>
      <w:r>
        <w:rPr>
          <w:rFonts w:ascii="Times New Roman" w:hAnsi="Times New Roman" w:eastAsia="仿宋_GB2312"/>
          <w:kern w:val="0"/>
          <w:sz w:val="32"/>
          <w:szCs w:val="32"/>
          <w:highlight w:val="none"/>
        </w:rPr>
        <w:t>利益相关者提出的建议，项目办在项目设计过程中充分考虑，使项目设计符合利益相关者的需求及利益。</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针对</w:t>
      </w:r>
      <w:r>
        <w:rPr>
          <w:rFonts w:ascii="Times New Roman" w:hAnsi="Times New Roman" w:eastAsia="仿宋_GB2312"/>
          <w:b/>
          <w:bCs/>
          <w:kern w:val="0"/>
          <w:sz w:val="32"/>
          <w:szCs w:val="32"/>
          <w:highlight w:val="none"/>
          <w:u w:val="single"/>
        </w:rPr>
        <w:t>项目实施阶段</w:t>
      </w:r>
      <w:r>
        <w:rPr>
          <w:rFonts w:ascii="Times New Roman" w:hAnsi="Times New Roman" w:eastAsia="仿宋_GB2312"/>
          <w:kern w:val="0"/>
          <w:sz w:val="32"/>
          <w:szCs w:val="32"/>
          <w:highlight w:val="none"/>
        </w:rPr>
        <w:t>利益相关者提出的相关诉求，项目办在考察核实后将会在后续实施过程中与利益相关者充分沟通，经过多方协商沟通，选择最有效解决问题的方式。</w:t>
      </w:r>
    </w:p>
    <w:p>
      <w:pPr>
        <w:pStyle w:val="4"/>
        <w:tabs>
          <w:tab w:val="left" w:pos="720"/>
        </w:tabs>
        <w:spacing w:before="0" w:after="0" w:line="240" w:lineRule="auto"/>
        <w:ind w:left="0" w:firstLine="0"/>
        <w:jc w:val="both"/>
        <w:rPr>
          <w:rFonts w:ascii="Times New Roman" w:hAnsi="Times New Roman" w:eastAsia="楷体_GB2312" w:cs="Times New Roman"/>
          <w:bCs w:val="0"/>
          <w:highlight w:val="none"/>
        </w:rPr>
      </w:pPr>
      <w:bookmarkStart w:id="48" w:name="_Toc954775199"/>
      <w:bookmarkStart w:id="49" w:name="_Toc57415931"/>
      <w:r>
        <w:rPr>
          <w:rFonts w:ascii="Times New Roman" w:hAnsi="Times New Roman" w:eastAsia="楷体_GB2312" w:cs="Times New Roman"/>
          <w:bCs w:val="0"/>
          <w:highlight w:val="none"/>
        </w:rPr>
        <w:t>项目</w:t>
      </w:r>
      <w:r>
        <w:rPr>
          <w:rFonts w:hint="eastAsia" w:ascii="Times New Roman" w:hAnsi="Times New Roman" w:eastAsia="楷体_GB2312" w:cs="Times New Roman"/>
          <w:bCs w:val="0"/>
          <w:highlight w:val="none"/>
          <w:lang w:eastAsia="zh-CN"/>
        </w:rPr>
        <w:t>进展</w:t>
      </w:r>
      <w:bookmarkEnd w:id="48"/>
      <w:bookmarkEnd w:id="49"/>
      <w:r>
        <w:rPr>
          <w:rFonts w:hint="eastAsia" w:ascii="Times New Roman" w:hAnsi="Times New Roman" w:eastAsia="楷体_GB2312" w:cs="Times New Roman"/>
          <w:bCs w:val="0"/>
          <w:highlight w:val="none"/>
          <w:lang w:eastAsia="zh-CN"/>
        </w:rPr>
        <w:t>阶段</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随着项目的不断推进，相关《环境与社会管理框架》、《利益相关者参与计划》及相关申诉机制将会依据计划落实。</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办将按本计划中制定的相关活动与利益相关者开展沟通与交流，并向利益相关者公开项目信息（包括项目内容，进度信息，环境和社会环境管理文件，如ESMF，SEP等，以及抱怨申诉机制等）；项目办将制定环境和社会绩效报告，并通过不同方式向公众公开。</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如果项目发生变化，项目办通过上述拟定的信息公开与公众咨询方式及时通报利益相关者；并和关键利益相关者相关部门沟通确认相关审批事项。</w:t>
      </w:r>
    </w:p>
    <w:p>
      <w:pPr>
        <w:pStyle w:val="3"/>
        <w:spacing w:before="0" w:after="0" w:line="240" w:lineRule="auto"/>
        <w:ind w:left="0" w:firstLine="0"/>
        <w:jc w:val="both"/>
        <w:rPr>
          <w:rFonts w:ascii="Times New Roman" w:hAnsi="Times New Roman" w:eastAsia="黑体" w:cs="Times New Roman"/>
          <w:b w:val="0"/>
          <w:bCs w:val="0"/>
          <w:sz w:val="32"/>
          <w:szCs w:val="32"/>
          <w:highlight w:val="none"/>
        </w:rPr>
      </w:pPr>
      <w:bookmarkStart w:id="50" w:name="_Toc57415932"/>
      <w:bookmarkStart w:id="51" w:name="_Toc64528293"/>
      <w:r>
        <w:rPr>
          <w:rFonts w:ascii="Times New Roman" w:hAnsi="Times New Roman" w:eastAsia="黑体" w:cs="Times New Roman"/>
          <w:b w:val="0"/>
          <w:bCs w:val="0"/>
          <w:sz w:val="32"/>
          <w:szCs w:val="32"/>
          <w:highlight w:val="none"/>
        </w:rPr>
        <w:t>实施利益相关方磋商活动的资源和职责</w:t>
      </w:r>
      <w:bookmarkEnd w:id="50"/>
      <w:bookmarkEnd w:id="51"/>
    </w:p>
    <w:p>
      <w:pPr>
        <w:pStyle w:val="4"/>
        <w:tabs>
          <w:tab w:val="left" w:pos="720"/>
        </w:tabs>
        <w:spacing w:before="0" w:after="0" w:line="240" w:lineRule="auto"/>
        <w:ind w:left="0" w:firstLine="0"/>
        <w:jc w:val="both"/>
        <w:rPr>
          <w:rFonts w:ascii="Times New Roman" w:hAnsi="Times New Roman" w:eastAsia="楷体_GB2312" w:cs="Times New Roman"/>
          <w:bCs w:val="0"/>
          <w:highlight w:val="none"/>
        </w:rPr>
      </w:pPr>
      <w:bookmarkStart w:id="52" w:name="_Toc57415933"/>
      <w:bookmarkStart w:id="53" w:name="_Toc968722251"/>
      <w:r>
        <w:rPr>
          <w:rFonts w:ascii="Times New Roman" w:hAnsi="Times New Roman" w:eastAsia="楷体_GB2312" w:cs="Times New Roman"/>
          <w:bCs w:val="0"/>
          <w:highlight w:val="none"/>
        </w:rPr>
        <w:t>资源</w:t>
      </w:r>
      <w:bookmarkEnd w:id="52"/>
      <w:bookmarkEnd w:id="53"/>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项目办将负责协调整个项目的利益相关参与计划的制定和实施，在整个项目过程开展公正、公开、公平及信息透明的公众参与和协商，以确保项目各相关方利益得到保障，促进项目的顺利实施。</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项目办将安排专职人员和费用预算来开展信息公开和利益相关者参与。</w:t>
      </w:r>
    </w:p>
    <w:p>
      <w:pPr>
        <w:pStyle w:val="4"/>
        <w:tabs>
          <w:tab w:val="left" w:pos="720"/>
        </w:tabs>
        <w:spacing w:before="0" w:after="0" w:line="240" w:lineRule="auto"/>
        <w:ind w:left="0" w:firstLine="0"/>
        <w:jc w:val="both"/>
        <w:rPr>
          <w:rFonts w:ascii="Times New Roman" w:hAnsi="Times New Roman" w:eastAsia="楷体_GB2312" w:cs="Times New Roman"/>
          <w:bCs w:val="0"/>
          <w:highlight w:val="none"/>
        </w:rPr>
      </w:pPr>
      <w:bookmarkStart w:id="54" w:name="_Toc1865403971"/>
      <w:bookmarkStart w:id="55" w:name="_Toc57415934"/>
      <w:r>
        <w:rPr>
          <w:rFonts w:ascii="Times New Roman" w:hAnsi="Times New Roman" w:eastAsia="楷体_GB2312" w:cs="Times New Roman"/>
          <w:bCs w:val="0"/>
          <w:highlight w:val="none"/>
        </w:rPr>
        <w:t>管理职能和职责</w:t>
      </w:r>
      <w:bookmarkEnd w:id="54"/>
      <w:bookmarkEnd w:id="55"/>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根据初步识别的利益相关者及草拟的参与计划，项目办将明确职能和职责，确保利益相关者参与有效实施，利益相关者关切及抱怨申诉能及时得到回复。</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项目办将安排一名环境专员和一名社会专员分别负责项目环境和社会方面的事务，包括利益相关者参与计划的实施、抱怨申诉反馈和处理及绩效监测等。</w:t>
      </w:r>
    </w:p>
    <w:p>
      <w:pPr>
        <w:widowControl/>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具体职责分工见表4-1。</w:t>
      </w:r>
    </w:p>
    <w:p>
      <w:pPr>
        <w:pStyle w:val="12"/>
        <w:spacing w:before="156" w:beforeLines="50" w:after="0" w:line="360" w:lineRule="auto"/>
        <w:jc w:val="center"/>
        <w:rPr>
          <w:rFonts w:ascii="Times New Roman" w:hAnsi="Times New Roman" w:cs="Times New Roman"/>
          <w:kern w:val="0"/>
          <w:sz w:val="28"/>
          <w:szCs w:val="28"/>
          <w:highlight w:val="none"/>
        </w:rPr>
      </w:pPr>
      <w:bookmarkStart w:id="56" w:name="_Toc65281258"/>
      <w:r>
        <w:rPr>
          <w:rFonts w:ascii="Times New Roman" w:hAnsi="Times New Roman" w:cs="Times New Roman"/>
          <w:kern w:val="0"/>
          <w:sz w:val="28"/>
          <w:szCs w:val="28"/>
          <w:highlight w:val="none"/>
        </w:rPr>
        <w:t>表4-</w:t>
      </w:r>
      <w:r>
        <w:rPr>
          <w:rFonts w:ascii="Times New Roman" w:hAnsi="Times New Roman" w:cs="Times New Roman"/>
          <w:kern w:val="0"/>
          <w:sz w:val="28"/>
          <w:szCs w:val="28"/>
          <w:highlight w:val="none"/>
        </w:rPr>
        <w:fldChar w:fldCharType="begin"/>
      </w:r>
      <w:r>
        <w:rPr>
          <w:rFonts w:ascii="Times New Roman" w:hAnsi="Times New Roman" w:cs="Times New Roman"/>
          <w:kern w:val="0"/>
          <w:sz w:val="28"/>
          <w:szCs w:val="28"/>
          <w:highlight w:val="none"/>
        </w:rPr>
        <w:instrText xml:space="preserve"> SEQ 表5- \* ARABIC </w:instrText>
      </w:r>
      <w:r>
        <w:rPr>
          <w:rFonts w:ascii="Times New Roman" w:hAnsi="Times New Roman" w:cs="Times New Roman"/>
          <w:kern w:val="0"/>
          <w:sz w:val="28"/>
          <w:szCs w:val="28"/>
          <w:highlight w:val="none"/>
        </w:rPr>
        <w:fldChar w:fldCharType="separate"/>
      </w:r>
      <w:r>
        <w:rPr>
          <w:rFonts w:ascii="Times New Roman" w:hAnsi="Times New Roman" w:cs="Times New Roman"/>
          <w:kern w:val="0"/>
          <w:sz w:val="28"/>
          <w:szCs w:val="28"/>
          <w:highlight w:val="none"/>
        </w:rPr>
        <w:t>1</w:t>
      </w:r>
      <w:r>
        <w:rPr>
          <w:rFonts w:ascii="Times New Roman" w:hAnsi="Times New Roman" w:cs="Times New Roman"/>
          <w:kern w:val="0"/>
          <w:sz w:val="28"/>
          <w:szCs w:val="28"/>
          <w:highlight w:val="none"/>
        </w:rPr>
        <w:fldChar w:fldCharType="end"/>
      </w:r>
      <w:r>
        <w:rPr>
          <w:rFonts w:ascii="Times New Roman" w:hAnsi="Times New Roman" w:cs="Times New Roman"/>
          <w:kern w:val="0"/>
          <w:sz w:val="28"/>
          <w:szCs w:val="28"/>
          <w:highlight w:val="none"/>
        </w:rPr>
        <w:t xml:space="preserve"> 利益相关者参与的职能和职责</w:t>
      </w:r>
      <w:bookmarkEnd w:id="56"/>
    </w:p>
    <w:tbl>
      <w:tblPr>
        <w:tblStyle w:val="26"/>
        <w:tblW w:w="86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14"/>
        <w:gridCol w:w="60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auto"/>
            <w:vAlign w:val="center"/>
          </w:tcPr>
          <w:p>
            <w:pPr>
              <w:widowControl/>
              <w:spacing w:after="0" w:line="240" w:lineRule="auto"/>
              <w:jc w:val="center"/>
              <w:rPr>
                <w:rFonts w:ascii="Times New Roman" w:hAnsi="Times New Roman" w:eastAsia="黑体"/>
                <w:bCs/>
                <w:kern w:val="0"/>
                <w:sz w:val="24"/>
                <w:szCs w:val="24"/>
                <w:highlight w:val="none"/>
              </w:rPr>
            </w:pPr>
            <w:r>
              <w:rPr>
                <w:rFonts w:ascii="Times New Roman" w:hAnsi="Times New Roman" w:eastAsia="黑体"/>
                <w:bCs/>
                <w:kern w:val="0"/>
                <w:sz w:val="24"/>
                <w:szCs w:val="24"/>
                <w:highlight w:val="none"/>
              </w:rPr>
              <w:t>序号</w:t>
            </w:r>
          </w:p>
        </w:tc>
        <w:tc>
          <w:tcPr>
            <w:tcW w:w="1814" w:type="dxa"/>
            <w:shd w:val="clear" w:color="auto" w:fill="auto"/>
            <w:vAlign w:val="center"/>
          </w:tcPr>
          <w:p>
            <w:pPr>
              <w:widowControl/>
              <w:spacing w:after="0" w:line="240" w:lineRule="auto"/>
              <w:jc w:val="center"/>
              <w:rPr>
                <w:rFonts w:ascii="Times New Roman" w:hAnsi="Times New Roman" w:eastAsia="黑体"/>
                <w:bCs/>
                <w:kern w:val="0"/>
                <w:sz w:val="24"/>
                <w:szCs w:val="24"/>
                <w:highlight w:val="none"/>
              </w:rPr>
            </w:pPr>
            <w:r>
              <w:rPr>
                <w:rFonts w:ascii="Times New Roman" w:hAnsi="Times New Roman" w:eastAsia="黑体"/>
                <w:bCs/>
                <w:kern w:val="0"/>
                <w:sz w:val="24"/>
                <w:szCs w:val="24"/>
                <w:highlight w:val="none"/>
              </w:rPr>
              <w:t>机构</w:t>
            </w:r>
          </w:p>
        </w:tc>
        <w:tc>
          <w:tcPr>
            <w:tcW w:w="6095" w:type="dxa"/>
            <w:shd w:val="clear" w:color="auto" w:fill="auto"/>
            <w:vAlign w:val="center"/>
          </w:tcPr>
          <w:p>
            <w:pPr>
              <w:widowControl/>
              <w:spacing w:after="0" w:line="240" w:lineRule="auto"/>
              <w:jc w:val="center"/>
              <w:rPr>
                <w:rFonts w:ascii="Times New Roman" w:hAnsi="Times New Roman" w:eastAsia="黑体"/>
                <w:bCs/>
                <w:kern w:val="0"/>
                <w:sz w:val="24"/>
                <w:szCs w:val="24"/>
                <w:highlight w:val="none"/>
              </w:rPr>
            </w:pPr>
            <w:r>
              <w:rPr>
                <w:rFonts w:ascii="Times New Roman" w:hAnsi="Times New Roman" w:eastAsia="黑体"/>
                <w:bCs/>
                <w:kern w:val="0"/>
                <w:sz w:val="24"/>
                <w:szCs w:val="24"/>
                <w:highlight w:val="none"/>
              </w:rPr>
              <w:t>职责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1</w:t>
            </w:r>
          </w:p>
        </w:tc>
        <w:tc>
          <w:tcPr>
            <w:tcW w:w="181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项目办负责人</w:t>
            </w:r>
          </w:p>
        </w:tc>
        <w:tc>
          <w:tcPr>
            <w:tcW w:w="6095" w:type="dxa"/>
            <w:vAlign w:val="center"/>
          </w:tcPr>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1</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审核确认《利益相关者参与计划》</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2</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监督利益相关者参与活动</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3</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向有关领导汇报利益相关参与结果及意见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2</w:t>
            </w:r>
          </w:p>
        </w:tc>
        <w:tc>
          <w:tcPr>
            <w:tcW w:w="181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w:t>
            </w:r>
          </w:p>
          <w:p>
            <w:pPr>
              <w:widowControl/>
              <w:spacing w:after="0" w:line="240" w:lineRule="auto"/>
              <w:jc w:val="center"/>
              <w:rPr>
                <w:rFonts w:hint="eastAsia" w:ascii="Times New Roman" w:hAnsi="Times New Roman" w:eastAsia="仿宋_GB2312"/>
                <w:kern w:val="0"/>
                <w:sz w:val="24"/>
                <w:szCs w:val="24"/>
                <w:highlight w:val="none"/>
                <w:lang w:eastAsia="zh-CN"/>
              </w:rPr>
            </w:pPr>
            <w:r>
              <w:rPr>
                <w:rFonts w:ascii="Times New Roman" w:hAnsi="Times New Roman" w:eastAsia="仿宋_GB2312"/>
                <w:kern w:val="0"/>
                <w:sz w:val="24"/>
                <w:szCs w:val="24"/>
                <w:highlight w:val="none"/>
              </w:rPr>
              <w:t>环境及社会</w:t>
            </w:r>
            <w:r>
              <w:rPr>
                <w:rFonts w:hint="eastAsia" w:ascii="Times New Roman" w:hAnsi="Times New Roman" w:eastAsia="仿宋_GB2312"/>
                <w:kern w:val="0"/>
                <w:sz w:val="24"/>
                <w:szCs w:val="24"/>
                <w:highlight w:val="none"/>
                <w:lang w:eastAsia="zh-CN"/>
              </w:rPr>
              <w:t>负责人</w:t>
            </w:r>
          </w:p>
        </w:tc>
        <w:tc>
          <w:tcPr>
            <w:tcW w:w="6095" w:type="dxa"/>
            <w:vAlign w:val="center"/>
          </w:tcPr>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1</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协同项目办制定利益相关者参与计划</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2</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参与利益相关者计划实施，并负责与项目办进行沟通和协调</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3</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负责利益相关者抱怨申诉</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4</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监测管理利益相关者参与绩效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70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3</w:t>
            </w:r>
          </w:p>
        </w:tc>
        <w:tc>
          <w:tcPr>
            <w:tcW w:w="181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w:t>
            </w:r>
          </w:p>
        </w:tc>
        <w:tc>
          <w:tcPr>
            <w:tcW w:w="6095" w:type="dxa"/>
            <w:vAlign w:val="center"/>
          </w:tcPr>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1</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制定并实施利益相关者参与计划</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2</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确保实施参与的责任和承诺</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3</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识别利益相关者的主要关切</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4</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跟踪利益相关者的参与进展及反馈</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5</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建立并维持有效的抱怨申诉机制</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6</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向项目办汇报利益相关者参与成果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4</w:t>
            </w:r>
          </w:p>
        </w:tc>
        <w:tc>
          <w:tcPr>
            <w:tcW w:w="181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w:t>
            </w:r>
          </w:p>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环境社会负责人</w:t>
            </w:r>
          </w:p>
        </w:tc>
        <w:tc>
          <w:tcPr>
            <w:tcW w:w="6095" w:type="dxa"/>
            <w:vAlign w:val="center"/>
          </w:tcPr>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1</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负责与相关社区沟通协调，</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2</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负责管理和实施项目在环境和社会方面的利益相关者的参与</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3</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记录利益相关者参与活动</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4</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更新利益相关者参与记录表</w:t>
            </w:r>
          </w:p>
          <w:p>
            <w:pPr>
              <w:widowControl/>
              <w:tabs>
                <w:tab w:val="left" w:pos="360"/>
              </w:tabs>
              <w:overflowPunct w:val="0"/>
              <w:autoSpaceDE w:val="0"/>
              <w:autoSpaceDN w:val="0"/>
              <w:adjustRightInd w:val="0"/>
              <w:spacing w:after="0" w:line="240" w:lineRule="auto"/>
              <w:jc w:val="left"/>
              <w:rPr>
                <w:rFonts w:ascii="Times New Roman" w:hAnsi="Times New Roman" w:eastAsia="仿宋_GB2312"/>
                <w:kern w:val="0"/>
                <w:sz w:val="24"/>
                <w:szCs w:val="24"/>
                <w:highlight w:val="none"/>
                <w:lang w:val="en-GB"/>
              </w:rPr>
            </w:pPr>
            <w:r>
              <w:rPr>
                <w:rFonts w:ascii="Times New Roman" w:hAnsi="Times New Roman" w:eastAsia="仿宋_GB2312"/>
                <w:kern w:val="0"/>
                <w:sz w:val="24"/>
                <w:szCs w:val="24"/>
                <w:highlight w:val="none"/>
                <w:lang w:val="en-GB"/>
              </w:rPr>
              <w:t>5</w:t>
            </w:r>
            <w:r>
              <w:rPr>
                <w:rFonts w:ascii="Times New Roman" w:hAnsi="Times New Roman" w:eastAsia="仿宋_GB2312"/>
                <w:sz w:val="24"/>
                <w:szCs w:val="24"/>
                <w:highlight w:val="none"/>
              </w:rPr>
              <w:t>．</w:t>
            </w:r>
            <w:r>
              <w:rPr>
                <w:rFonts w:ascii="Times New Roman" w:hAnsi="Times New Roman" w:eastAsia="仿宋_GB2312"/>
                <w:kern w:val="0"/>
                <w:sz w:val="24"/>
                <w:szCs w:val="24"/>
                <w:highlight w:val="none"/>
                <w:lang w:val="en-GB"/>
              </w:rPr>
              <w:t>记录利益相关者抱怨申诉和处理结果</w:t>
            </w:r>
          </w:p>
        </w:tc>
      </w:tr>
    </w:tbl>
    <w:p>
      <w:pPr>
        <w:pStyle w:val="3"/>
        <w:spacing w:before="312" w:beforeLines="100" w:after="0" w:line="240" w:lineRule="auto"/>
        <w:ind w:left="0" w:firstLine="0"/>
        <w:jc w:val="both"/>
        <w:rPr>
          <w:rFonts w:ascii="Times New Roman" w:hAnsi="Times New Roman" w:eastAsia="黑体" w:cs="Times New Roman"/>
          <w:b w:val="0"/>
          <w:bCs w:val="0"/>
          <w:sz w:val="32"/>
          <w:szCs w:val="32"/>
          <w:highlight w:val="none"/>
        </w:rPr>
      </w:pPr>
      <w:bookmarkStart w:id="57" w:name="_Toc57410662"/>
      <w:bookmarkStart w:id="58" w:name="_Toc2008633722"/>
      <w:r>
        <w:rPr>
          <w:rFonts w:ascii="Times New Roman" w:hAnsi="Times New Roman" w:eastAsia="黑体" w:cs="Times New Roman"/>
          <w:b w:val="0"/>
          <w:bCs w:val="0"/>
          <w:sz w:val="32"/>
          <w:szCs w:val="32"/>
          <w:highlight w:val="none"/>
        </w:rPr>
        <w:t>申诉机制</w:t>
      </w:r>
      <w:bookmarkEnd w:id="57"/>
      <w:bookmarkEnd w:id="58"/>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为了及时回应人们对项目在环境和社会绩效方面的关注和不满，本项目设置了项目层面的申诉机制（GRM），主要包括两种类型：</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针对本项目层面的申诉机制，即普通居民，在项目实施阶段可能收到的任何相关的疑问、投诉的收集、处理和反馈机制。</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针对项目工人层面的申诉机制，在项目实施过程中对有关问题的疑问和投诉的收集、处理和反馈机制。</w:t>
      </w:r>
    </w:p>
    <w:p>
      <w:pPr>
        <w:widowControl/>
        <w:spacing w:after="0" w:line="24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如有基于性侵犯和性剥削相关投诉事件，项目将设立专门的申诉渠道处理此类事件。</w:t>
      </w:r>
    </w:p>
    <w:p>
      <w:pPr>
        <w:pStyle w:val="4"/>
        <w:numPr>
          <w:ilvl w:val="1"/>
          <w:numId w:val="3"/>
        </w:numPr>
        <w:spacing w:before="0" w:after="0" w:line="240" w:lineRule="auto"/>
        <w:ind w:left="0" w:firstLine="0"/>
        <w:jc w:val="both"/>
        <w:rPr>
          <w:rFonts w:ascii="Times New Roman" w:hAnsi="Times New Roman" w:eastAsia="楷体_GB2312" w:cs="Times New Roman"/>
          <w:bCs w:val="0"/>
          <w:highlight w:val="none"/>
        </w:rPr>
      </w:pPr>
      <w:bookmarkStart w:id="59" w:name="_Toc468838945"/>
      <w:bookmarkStart w:id="60" w:name="_Toc57410663"/>
      <w:r>
        <w:rPr>
          <w:rFonts w:ascii="Times New Roman" w:hAnsi="Times New Roman" w:eastAsia="楷体_GB2312" w:cs="Times New Roman"/>
          <w:bCs w:val="0"/>
          <w:highlight w:val="none"/>
        </w:rPr>
        <w:t xml:space="preserve"> 项目层面申诉机制安排</w:t>
      </w:r>
      <w:bookmarkEnd w:id="59"/>
      <w:bookmarkEnd w:id="60"/>
    </w:p>
    <w:p>
      <w:pPr>
        <w:widowControl/>
        <w:spacing w:after="0" w:line="240" w:lineRule="auto"/>
        <w:ind w:firstLine="643" w:firstLineChars="200"/>
        <w:rPr>
          <w:rFonts w:ascii="Times New Roman" w:hAnsi="Times New Roman" w:eastAsia="仿宋_GB2312"/>
          <w:sz w:val="32"/>
          <w:szCs w:val="32"/>
          <w:highlight w:val="none"/>
        </w:rPr>
      </w:pPr>
      <w:r>
        <w:rPr>
          <w:rFonts w:ascii="Times New Roman" w:hAnsi="Times New Roman" w:eastAsia="仿宋_GB2312"/>
          <w:b/>
          <w:bCs/>
          <w:sz w:val="32"/>
          <w:szCs w:val="32"/>
          <w:highlight w:val="none"/>
        </w:rPr>
        <w:t>第一阶段：</w:t>
      </w:r>
      <w:r>
        <w:rPr>
          <w:rFonts w:ascii="Times New Roman" w:hAnsi="Times New Roman" w:eastAsia="仿宋_GB2312"/>
          <w:sz w:val="32"/>
          <w:szCs w:val="32"/>
          <w:highlight w:val="none"/>
        </w:rPr>
        <w:t>居民或者其他利益相关方向项目当地执行机构（如现场调查机构、设计单位等）或当地村民委员会、社区居民委员会、乡镇人民政府或街道办事处提出申诉。现场执行机构、村/居委会、街道/乡镇政府需要在15个工作日内处理申诉，并向申诉人反馈处理结果；</w:t>
      </w:r>
    </w:p>
    <w:p>
      <w:pPr>
        <w:widowControl/>
        <w:spacing w:after="0" w:line="240" w:lineRule="auto"/>
        <w:ind w:firstLine="643" w:firstLineChars="200"/>
        <w:rPr>
          <w:rFonts w:ascii="Times New Roman" w:hAnsi="Times New Roman" w:eastAsia="仿宋_GB2312"/>
          <w:sz w:val="32"/>
          <w:szCs w:val="32"/>
          <w:highlight w:val="none"/>
        </w:rPr>
      </w:pPr>
      <w:r>
        <w:rPr>
          <w:rFonts w:ascii="Times New Roman" w:hAnsi="Times New Roman" w:eastAsia="仿宋_GB2312"/>
          <w:b/>
          <w:bCs/>
          <w:sz w:val="32"/>
          <w:szCs w:val="32"/>
          <w:highlight w:val="none"/>
        </w:rPr>
        <w:t>第二阶段：</w:t>
      </w:r>
      <w:r>
        <w:rPr>
          <w:rFonts w:ascii="Times New Roman" w:hAnsi="Times New Roman" w:eastAsia="仿宋_GB2312"/>
          <w:sz w:val="32"/>
          <w:szCs w:val="32"/>
          <w:highlight w:val="none"/>
        </w:rPr>
        <w:t>如果申诉人对第一阶段现场执行机构的处理结果不满，可在收到上一阶段申诉的反馈之后，向区（县）级政府，或市级政府部门（如生态环境局、水务局）提出申诉。相关部门需要在接到申诉之后的15个工作日内处理申诉，并向申诉人反馈处理结果；</w:t>
      </w:r>
    </w:p>
    <w:p>
      <w:pPr>
        <w:widowControl/>
        <w:spacing w:after="0" w:line="240" w:lineRule="auto"/>
        <w:ind w:firstLine="643" w:firstLineChars="200"/>
        <w:rPr>
          <w:rFonts w:ascii="Times New Roman" w:hAnsi="Times New Roman" w:eastAsia="仿宋_GB2312"/>
          <w:sz w:val="32"/>
          <w:szCs w:val="32"/>
          <w:highlight w:val="none"/>
        </w:rPr>
      </w:pPr>
      <w:r>
        <w:rPr>
          <w:rFonts w:ascii="Times New Roman" w:hAnsi="Times New Roman" w:eastAsia="仿宋_GB2312"/>
          <w:b/>
          <w:bCs/>
          <w:sz w:val="32"/>
          <w:szCs w:val="32"/>
          <w:highlight w:val="none"/>
        </w:rPr>
        <w:t>第三阶段：</w:t>
      </w:r>
      <w:r>
        <w:rPr>
          <w:rFonts w:ascii="Times New Roman" w:hAnsi="Times New Roman" w:eastAsia="仿宋_GB2312"/>
          <w:sz w:val="32"/>
          <w:szCs w:val="32"/>
          <w:highlight w:val="none"/>
        </w:rPr>
        <w:t>如果申诉人对第二阶段区（县）级人民政府，或市级政府部门的处理结果不满意。可以在接到相关部门的反馈之后向市政府反映。市政府在收到申诉之后的15个工作日内处理，并向申诉人反馈处理结果。</w:t>
      </w:r>
    </w:p>
    <w:p>
      <w:pPr>
        <w:widowControl/>
        <w:spacing w:after="0" w:line="240" w:lineRule="auto"/>
        <w:ind w:firstLine="643" w:firstLineChars="200"/>
        <w:rPr>
          <w:rFonts w:ascii="Times New Roman" w:hAnsi="Times New Roman" w:eastAsia="仿宋_GB2312"/>
          <w:sz w:val="32"/>
          <w:szCs w:val="32"/>
          <w:highlight w:val="none"/>
        </w:rPr>
      </w:pPr>
      <w:r>
        <w:rPr>
          <w:rFonts w:ascii="Times New Roman" w:hAnsi="Times New Roman" w:eastAsia="仿宋_GB2312"/>
          <w:b/>
          <w:bCs/>
          <w:sz w:val="32"/>
          <w:szCs w:val="32"/>
          <w:highlight w:val="none"/>
        </w:rPr>
        <w:t>第四阶段：</w:t>
      </w:r>
      <w:r>
        <w:rPr>
          <w:rFonts w:ascii="Times New Roman" w:hAnsi="Times New Roman" w:eastAsia="仿宋_GB2312"/>
          <w:sz w:val="32"/>
          <w:szCs w:val="32"/>
          <w:highlight w:val="none"/>
        </w:rPr>
        <w:t>如果申诉人对以上所有阶段的处理结果均不满意，他或她可以根据《中华人民共和国行政复议法》，向申诉处理机关的行政机关的上一级行政机关或者法律、法规规定的其他机关申请行政复议，或根据《中华人民共和国行政诉讼法》向法院提起行政诉讼。</w:t>
      </w:r>
    </w:p>
    <w:p>
      <w:pPr>
        <w:widowControl/>
        <w:spacing w:after="0" w:line="24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项目办总体负责本项目相关的申诉的汇总，跟踪和记录。包括“12345市长热线”，网站和其他线上平台提交的申诉的接受、转办、跟踪、记录和反馈。</w:t>
      </w:r>
    </w:p>
    <w:p>
      <w:pPr>
        <w:widowControl/>
        <w:spacing w:after="0" w:line="24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居民可以通过表5-1中的渠道提交申诉：</w:t>
      </w:r>
    </w:p>
    <w:p>
      <w:pPr>
        <w:pStyle w:val="12"/>
        <w:spacing w:after="156" w:afterLines="50" w:line="400" w:lineRule="exact"/>
        <w:jc w:val="center"/>
        <w:rPr>
          <w:rFonts w:ascii="Times New Roman" w:hAnsi="Times New Roman" w:cs="Times New Roman"/>
          <w:kern w:val="0"/>
          <w:sz w:val="28"/>
          <w:szCs w:val="28"/>
          <w:highlight w:val="none"/>
        </w:rPr>
      </w:pPr>
      <w:bookmarkStart w:id="61" w:name="_Toc65281263"/>
      <w:r>
        <w:rPr>
          <w:rFonts w:ascii="Times New Roman" w:hAnsi="Times New Roman" w:cs="Times New Roman"/>
          <w:kern w:val="0"/>
          <w:sz w:val="28"/>
          <w:szCs w:val="28"/>
          <w:highlight w:val="none"/>
        </w:rPr>
        <w:t>表5-</w:t>
      </w:r>
      <w:r>
        <w:rPr>
          <w:rFonts w:ascii="Times New Roman" w:hAnsi="Times New Roman" w:cs="Times New Roman"/>
          <w:kern w:val="0"/>
          <w:sz w:val="28"/>
          <w:szCs w:val="28"/>
          <w:highlight w:val="none"/>
        </w:rPr>
        <w:fldChar w:fldCharType="begin"/>
      </w:r>
      <w:r>
        <w:rPr>
          <w:rFonts w:ascii="Times New Roman" w:hAnsi="Times New Roman" w:cs="Times New Roman"/>
          <w:kern w:val="0"/>
          <w:sz w:val="28"/>
          <w:szCs w:val="28"/>
          <w:highlight w:val="none"/>
        </w:rPr>
        <w:instrText xml:space="preserve"> SEQ 表6- \* ARABIC </w:instrText>
      </w:r>
      <w:r>
        <w:rPr>
          <w:rFonts w:ascii="Times New Roman" w:hAnsi="Times New Roman" w:cs="Times New Roman"/>
          <w:kern w:val="0"/>
          <w:sz w:val="28"/>
          <w:szCs w:val="28"/>
          <w:highlight w:val="none"/>
        </w:rPr>
        <w:fldChar w:fldCharType="separate"/>
      </w:r>
      <w:r>
        <w:rPr>
          <w:rFonts w:ascii="Times New Roman" w:hAnsi="Times New Roman" w:cs="Times New Roman"/>
          <w:kern w:val="0"/>
          <w:sz w:val="28"/>
          <w:szCs w:val="28"/>
          <w:highlight w:val="none"/>
        </w:rPr>
        <w:t>1</w:t>
      </w:r>
      <w:r>
        <w:rPr>
          <w:rFonts w:ascii="Times New Roman" w:hAnsi="Times New Roman" w:cs="Times New Roman"/>
          <w:kern w:val="0"/>
          <w:sz w:val="28"/>
          <w:szCs w:val="28"/>
          <w:highlight w:val="none"/>
        </w:rPr>
        <w:fldChar w:fldCharType="end"/>
      </w:r>
      <w:r>
        <w:rPr>
          <w:rFonts w:ascii="Times New Roman" w:hAnsi="Times New Roman" w:cs="Times New Roman"/>
          <w:kern w:val="0"/>
          <w:sz w:val="28"/>
          <w:szCs w:val="28"/>
          <w:highlight w:val="none"/>
        </w:rPr>
        <w:t xml:space="preserve"> 联系方式</w:t>
      </w:r>
      <w:bookmarkEnd w:id="61"/>
    </w:p>
    <w:tbl>
      <w:tblPr>
        <w:tblStyle w:val="26"/>
        <w:tblW w:w="828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834"/>
        <w:gridCol w:w="35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tblHeader/>
          <w:jc w:val="center"/>
        </w:trPr>
        <w:tc>
          <w:tcPr>
            <w:tcW w:w="4740" w:type="dxa"/>
            <w:gridSpan w:val="2"/>
            <w:shd w:val="clear" w:color="auto" w:fill="auto"/>
            <w:vAlign w:val="center"/>
          </w:tcPr>
          <w:p>
            <w:pPr>
              <w:widowControl/>
              <w:spacing w:after="0" w:line="240" w:lineRule="auto"/>
              <w:jc w:val="center"/>
              <w:rPr>
                <w:rFonts w:ascii="Times New Roman" w:hAnsi="Times New Roman" w:eastAsia="黑体"/>
                <w:kern w:val="0"/>
                <w:sz w:val="24"/>
                <w:szCs w:val="24"/>
                <w:highlight w:val="none"/>
              </w:rPr>
            </w:pPr>
            <w:r>
              <w:rPr>
                <w:rFonts w:ascii="Times New Roman" w:hAnsi="Times New Roman" w:eastAsia="黑体"/>
                <w:bCs/>
                <w:kern w:val="0"/>
                <w:sz w:val="24"/>
                <w:szCs w:val="24"/>
                <w:highlight w:val="none"/>
              </w:rPr>
              <w:t>方法</w:t>
            </w:r>
          </w:p>
        </w:tc>
        <w:tc>
          <w:tcPr>
            <w:tcW w:w="3544" w:type="dxa"/>
            <w:shd w:val="clear" w:color="auto" w:fill="auto"/>
            <w:vAlign w:val="center"/>
          </w:tcPr>
          <w:p>
            <w:pPr>
              <w:widowControl/>
              <w:spacing w:after="0" w:line="240" w:lineRule="auto"/>
              <w:jc w:val="center"/>
              <w:rPr>
                <w:rFonts w:ascii="Times New Roman" w:hAnsi="Times New Roman" w:eastAsia="黑体"/>
                <w:kern w:val="0"/>
                <w:sz w:val="24"/>
                <w:szCs w:val="24"/>
                <w:highlight w:val="none"/>
              </w:rPr>
            </w:pPr>
            <w:r>
              <w:rPr>
                <w:rFonts w:ascii="Times New Roman" w:hAnsi="Times New Roman" w:eastAsia="黑体"/>
                <w:bCs/>
                <w:kern w:val="0"/>
                <w:sz w:val="24"/>
                <w:szCs w:val="24"/>
                <w:highlight w:val="none"/>
              </w:rPr>
              <w:t>回执时间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06"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项目办联系方式</w:t>
            </w:r>
          </w:p>
        </w:tc>
        <w:tc>
          <w:tcPr>
            <w:tcW w:w="283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0532-85622039</w:t>
            </w:r>
          </w:p>
        </w:tc>
        <w:tc>
          <w:tcPr>
            <w:tcW w:w="3544" w:type="dxa"/>
            <w:vAlign w:val="center"/>
          </w:tcPr>
          <w:p>
            <w:pPr>
              <w:widowControl/>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立即回复，如果留言，48小时后回复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06"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电子邮件</w:t>
            </w:r>
          </w:p>
        </w:tc>
        <w:tc>
          <w:tcPr>
            <w:tcW w:w="283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w:t>
            </w:r>
          </w:p>
        </w:tc>
        <w:tc>
          <w:tcPr>
            <w:tcW w:w="3544" w:type="dxa"/>
            <w:vAlign w:val="center"/>
          </w:tcPr>
          <w:p>
            <w:pPr>
              <w:widowControl/>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48小时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06"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电    话</w:t>
            </w:r>
          </w:p>
        </w:tc>
        <w:tc>
          <w:tcPr>
            <w:tcW w:w="283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政府服务热线“12345”</w:t>
            </w:r>
          </w:p>
        </w:tc>
        <w:tc>
          <w:tcPr>
            <w:tcW w:w="3544" w:type="dxa"/>
            <w:vAlign w:val="center"/>
          </w:tcPr>
          <w:p>
            <w:pPr>
              <w:widowControl/>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立即回复，如果留言，48小时后回复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06"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信    访</w:t>
            </w:r>
          </w:p>
        </w:tc>
        <w:tc>
          <w:tcPr>
            <w:tcW w:w="2834" w:type="dxa"/>
            <w:vAlign w:val="center"/>
          </w:tcPr>
          <w:p>
            <w:pPr>
              <w:widowControl/>
              <w:spacing w:after="0"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http://qdxf.qingdao.gov.cn/</w:t>
            </w:r>
          </w:p>
        </w:tc>
        <w:tc>
          <w:tcPr>
            <w:tcW w:w="3544" w:type="dxa"/>
            <w:vAlign w:val="center"/>
          </w:tcPr>
          <w:p>
            <w:pPr>
              <w:widowControl/>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一周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906"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政府在线投诉</w:t>
            </w:r>
          </w:p>
        </w:tc>
        <w:tc>
          <w:tcPr>
            <w:tcW w:w="2834" w:type="dxa"/>
            <w:vAlign w:val="center"/>
          </w:tcPr>
          <w:p>
            <w:pPr>
              <w:widowControl/>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各政府部门官方网站</w:t>
            </w:r>
          </w:p>
        </w:tc>
        <w:tc>
          <w:tcPr>
            <w:tcW w:w="3544" w:type="dxa"/>
            <w:vAlign w:val="center"/>
          </w:tcPr>
          <w:p>
            <w:pPr>
              <w:widowControl/>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15天</w:t>
            </w:r>
          </w:p>
        </w:tc>
      </w:tr>
    </w:tbl>
    <w:p>
      <w:pPr>
        <w:widowControl/>
        <w:spacing w:line="360" w:lineRule="auto"/>
        <w:ind w:firstLine="480" w:firstLineChars="200"/>
        <w:jc w:val="left"/>
        <w:rPr>
          <w:rFonts w:ascii="Times New Roman" w:hAnsi="Times New Roman" w:eastAsia="宋体"/>
          <w:sz w:val="24"/>
          <w:szCs w:val="24"/>
          <w:highlight w:val="none"/>
        </w:rPr>
      </w:pPr>
    </w:p>
    <w:p>
      <w:pPr>
        <w:pStyle w:val="4"/>
        <w:adjustRightInd w:val="0"/>
        <w:snapToGrid w:val="0"/>
        <w:spacing w:before="0" w:after="0" w:line="360" w:lineRule="auto"/>
        <w:ind w:left="0" w:firstLine="0"/>
        <w:jc w:val="both"/>
        <w:rPr>
          <w:rFonts w:ascii="Times New Roman" w:hAnsi="Times New Roman" w:eastAsia="楷体_GB2312" w:cs="Times New Roman"/>
          <w:bCs w:val="0"/>
          <w:highlight w:val="none"/>
        </w:rPr>
      </w:pPr>
      <w:bookmarkStart w:id="62" w:name="_Toc57410665"/>
      <w:bookmarkStart w:id="63" w:name="_Toc1003739275"/>
      <w:r>
        <w:rPr>
          <w:rFonts w:ascii="Times New Roman" w:hAnsi="Times New Roman" w:eastAsia="楷体_GB2312" w:cs="Times New Roman"/>
          <w:bCs w:val="0"/>
          <w:highlight w:val="none"/>
        </w:rPr>
        <w:t xml:space="preserve"> 项目工人申诉机制安排</w:t>
      </w:r>
      <w:bookmarkEnd w:id="62"/>
      <w:bookmarkEnd w:id="63"/>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项目办将为项目人员制定和实施申诉机制，其中包括</w:t>
      </w:r>
      <w:r>
        <w:rPr>
          <w:rFonts w:ascii="Times New Roman" w:hAnsi="Times New Roman" w:eastAsia="仿宋_GB2312"/>
          <w:kern w:val="0"/>
          <w:sz w:val="32"/>
          <w:szCs w:val="32"/>
          <w:highlight w:val="none"/>
        </w:rPr>
        <w:t>社区居民、畜禽养殖户、动物疫病防控人员、相关领域实验室科研人员等</w:t>
      </w:r>
      <w:r>
        <w:rPr>
          <w:rFonts w:ascii="Times New Roman" w:hAnsi="Times New Roman" w:eastAsia="仿宋_GB2312"/>
          <w:sz w:val="32"/>
          <w:szCs w:val="32"/>
          <w:highlight w:val="none"/>
        </w:rPr>
        <w:t>，以解决他们对工作条件、健康安全等方面问题的申诉（申诉热线与项目抱怨申诉机制相同）。</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员工的申诉机制将包括：</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1．接受评论/投诉表、意见箱、电子邮件、电话热线等申诉的程序；</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2．规定申诉响应时间表；</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3．记录并跟踪申诉及时解决问题的登记簿；</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4．受理、记录和跟踪解决申诉问题的责任单位。</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申诉机制将在劳动者的入职培训中予以说明，将为所有项目劳动者提供此类培训机会。该机制将基于以下原则：</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5．过程透明，允许劳动者表达其顾虑并提出申诉；</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6．对表达申诉的劳动者不存在任何歧视，任何申诉都将被保密处理；</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7．匿名申诉会与其他已知来源的申诉同等对待；</w:t>
      </w:r>
    </w:p>
    <w:p>
      <w:pPr>
        <w:pStyle w:val="48"/>
        <w:adjustRightInd w:val="0"/>
        <w:snapToGrid w:val="0"/>
        <w:spacing w:after="0" w:line="360" w:lineRule="auto"/>
        <w:ind w:left="640" w:firstLine="0" w:firstLineChars="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8．申诉将得到认真对待，并及时采取适当的行动响应。</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通过项目网站、员工会议和其他必要的方式，所有项目工人（直接雇用的劳动者和合同制劳动者)都可以随时获得有关申诉机制的信息。</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员工抱怨申诉机制不会妨碍工作人员通过其他司法或行政途径需求补救措施；如工作人员可以通过青岛市人力资源与社会保障局在其官方网站（http://hrss.qingdao.gov.cn/）公布的各地区劳动保障监察机构的投诉电话就工资待遇、工作条件等劳动方面的问题进行申诉。</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项目劳动者申诉机制不会妨碍工人使用《劳动法》规定的调解程序。基本程序如下：</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阶段1：提出仲裁的当事人应在发生劳动争议之日起60天内向劳动争议仲裁委员会提出书面申请。一般而言，仲裁委员会应在收到申请后60天内作出裁决。当事人对仲裁裁决没有异议的，应当执行仲裁裁决。劳动争议仲裁委员会由劳动行政部门的代表、同级工会的代表和用人单位的代表组成。该委员会的主席应由劳动行政管理部门的代表担任。</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阶段2：如果劳资纠纷的任何一方对仲裁裁决有异议，则可以在收到裁决后15天内向人民法院提起诉讼。</w:t>
      </w:r>
      <w:bookmarkStart w:id="64" w:name="_Toc57410666"/>
    </w:p>
    <w:p>
      <w:pPr>
        <w:pStyle w:val="3"/>
        <w:adjustRightInd w:val="0"/>
        <w:snapToGrid w:val="0"/>
        <w:spacing w:before="0" w:after="0" w:line="360" w:lineRule="auto"/>
        <w:ind w:left="0" w:firstLine="0"/>
        <w:jc w:val="both"/>
        <w:rPr>
          <w:rFonts w:ascii="Times New Roman" w:hAnsi="Times New Roman" w:eastAsia="黑体" w:cs="Times New Roman"/>
          <w:b w:val="0"/>
          <w:bCs w:val="0"/>
          <w:sz w:val="32"/>
          <w:szCs w:val="32"/>
          <w:highlight w:val="none"/>
        </w:rPr>
      </w:pPr>
      <w:bookmarkStart w:id="65" w:name="_Toc222722730"/>
      <w:r>
        <w:rPr>
          <w:rFonts w:ascii="Times New Roman" w:hAnsi="Times New Roman" w:eastAsia="黑体" w:cs="Times New Roman"/>
          <w:b w:val="0"/>
          <w:bCs w:val="0"/>
          <w:sz w:val="32"/>
          <w:szCs w:val="32"/>
          <w:highlight w:val="none"/>
        </w:rPr>
        <w:t xml:space="preserve"> 监测和报告</w:t>
      </w:r>
      <w:bookmarkEnd w:id="64"/>
      <w:bookmarkEnd w:id="65"/>
    </w:p>
    <w:p>
      <w:pPr>
        <w:pStyle w:val="4"/>
        <w:adjustRightInd w:val="0"/>
        <w:snapToGrid w:val="0"/>
        <w:spacing w:before="0" w:after="0" w:line="360" w:lineRule="auto"/>
        <w:ind w:left="0" w:firstLine="0"/>
        <w:jc w:val="both"/>
        <w:rPr>
          <w:rFonts w:ascii="Times New Roman" w:hAnsi="Times New Roman" w:eastAsia="楷体_GB2312" w:cs="Times New Roman"/>
          <w:bCs w:val="0"/>
          <w:highlight w:val="none"/>
        </w:rPr>
      </w:pPr>
      <w:bookmarkStart w:id="66" w:name="_Toc349722283"/>
      <w:r>
        <w:rPr>
          <w:rFonts w:ascii="Times New Roman" w:hAnsi="Times New Roman" w:eastAsia="楷体_GB2312" w:cs="Times New Roman"/>
          <w:bCs w:val="0"/>
          <w:highlight w:val="none"/>
        </w:rPr>
        <w:t xml:space="preserve"> 利益相关方在监督活动中的参与</w:t>
      </w:r>
      <w:bookmarkEnd w:id="66"/>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项目办将保留所有利益相关者参与、信息披露、抱怨申诉和解决的记录，并将把项目利益相关者参与计划实施纳入半年度环境和社绩效监测和报告中</w:t>
      </w:r>
      <w:r>
        <w:rPr>
          <w:rFonts w:hint="eastAsia" w:ascii="Times New Roman" w:hAnsi="Times New Roman" w:eastAsia="仿宋_GB2312"/>
          <w:sz w:val="32"/>
          <w:szCs w:val="32"/>
          <w:highlight w:val="none"/>
        </w:rPr>
        <w:t>，向世行进行报告</w:t>
      </w:r>
      <w:r>
        <w:rPr>
          <w:rFonts w:ascii="Times New Roman" w:hAnsi="Times New Roman" w:eastAsia="仿宋_GB2312"/>
          <w:sz w:val="32"/>
          <w:szCs w:val="32"/>
          <w:highlight w:val="none"/>
        </w:rPr>
        <w:t>。</w:t>
      </w:r>
    </w:p>
    <w:p>
      <w:pPr>
        <w:adjustRightInd w:val="0"/>
        <w:snapToGrid w:val="0"/>
        <w:spacing w:after="0" w:line="36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利益相关者参与指示性监测指标和相关责任机构详见表</w:t>
      </w:r>
      <w:r>
        <w:rPr>
          <w:rFonts w:hint="eastAsia" w:ascii="Times New Roman" w:hAnsi="Times New Roman" w:eastAsia="仿宋_GB2312"/>
          <w:sz w:val="32"/>
          <w:szCs w:val="32"/>
          <w:highlight w:val="none"/>
        </w:rPr>
        <w:t>6</w:t>
      </w:r>
      <w:r>
        <w:rPr>
          <w:rFonts w:ascii="Times New Roman" w:hAnsi="Times New Roman" w:eastAsia="仿宋_GB2312"/>
          <w:sz w:val="32"/>
          <w:szCs w:val="32"/>
          <w:highlight w:val="none"/>
        </w:rPr>
        <w:t>-1。</w:t>
      </w:r>
    </w:p>
    <w:p>
      <w:pPr>
        <w:pStyle w:val="12"/>
        <w:spacing w:after="156" w:afterLines="50" w:line="400" w:lineRule="exact"/>
        <w:jc w:val="center"/>
        <w:rPr>
          <w:rFonts w:ascii="Times New Roman" w:hAnsi="Times New Roman" w:cs="Times New Roman"/>
          <w:kern w:val="0"/>
          <w:sz w:val="28"/>
          <w:szCs w:val="28"/>
          <w:highlight w:val="none"/>
        </w:rPr>
      </w:pPr>
      <w:bookmarkStart w:id="67" w:name="_Toc65281268"/>
      <w:r>
        <w:rPr>
          <w:rFonts w:ascii="Times New Roman" w:hAnsi="Times New Roman" w:cs="Times New Roman"/>
          <w:kern w:val="0"/>
          <w:sz w:val="28"/>
          <w:szCs w:val="28"/>
          <w:highlight w:val="none"/>
        </w:rPr>
        <w:t>表6-</w:t>
      </w:r>
      <w:r>
        <w:rPr>
          <w:rFonts w:ascii="Times New Roman" w:hAnsi="Times New Roman" w:cs="Times New Roman"/>
          <w:kern w:val="0"/>
          <w:sz w:val="28"/>
          <w:szCs w:val="28"/>
          <w:highlight w:val="none"/>
        </w:rPr>
        <w:fldChar w:fldCharType="begin"/>
      </w:r>
      <w:r>
        <w:rPr>
          <w:rFonts w:ascii="Times New Roman" w:hAnsi="Times New Roman" w:cs="Times New Roman"/>
          <w:kern w:val="0"/>
          <w:sz w:val="28"/>
          <w:szCs w:val="28"/>
          <w:highlight w:val="none"/>
        </w:rPr>
        <w:instrText xml:space="preserve"> SEQ 表7- \* ARABIC </w:instrText>
      </w:r>
      <w:r>
        <w:rPr>
          <w:rFonts w:ascii="Times New Roman" w:hAnsi="Times New Roman" w:cs="Times New Roman"/>
          <w:kern w:val="0"/>
          <w:sz w:val="28"/>
          <w:szCs w:val="28"/>
          <w:highlight w:val="none"/>
        </w:rPr>
        <w:fldChar w:fldCharType="separate"/>
      </w:r>
      <w:r>
        <w:rPr>
          <w:rFonts w:ascii="Times New Roman" w:hAnsi="Times New Roman" w:cs="Times New Roman"/>
          <w:kern w:val="0"/>
          <w:sz w:val="28"/>
          <w:szCs w:val="28"/>
          <w:highlight w:val="none"/>
        </w:rPr>
        <w:t>1</w:t>
      </w:r>
      <w:r>
        <w:rPr>
          <w:rFonts w:ascii="Times New Roman" w:hAnsi="Times New Roman" w:cs="Times New Roman"/>
          <w:kern w:val="0"/>
          <w:sz w:val="28"/>
          <w:szCs w:val="28"/>
          <w:highlight w:val="none"/>
        </w:rPr>
        <w:fldChar w:fldCharType="end"/>
      </w:r>
      <w:r>
        <w:rPr>
          <w:rFonts w:ascii="Times New Roman" w:hAnsi="Times New Roman" w:cs="Times New Roman"/>
          <w:kern w:val="0"/>
          <w:sz w:val="28"/>
          <w:szCs w:val="28"/>
          <w:highlight w:val="none"/>
        </w:rPr>
        <w:t xml:space="preserve"> 利益相关者参与实施监测指示性指标</w:t>
      </w:r>
      <w:bookmarkEnd w:id="67"/>
    </w:p>
    <w:tbl>
      <w:tblPr>
        <w:tblStyle w:val="26"/>
        <w:tblW w:w="86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4601"/>
        <w:gridCol w:w="996"/>
        <w:gridCol w:w="1007"/>
        <w:gridCol w:w="12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52" w:type="dxa"/>
            <w:shd w:val="clear" w:color="auto" w:fill="auto"/>
            <w:vAlign w:val="center"/>
          </w:tcPr>
          <w:p>
            <w:pPr>
              <w:widowControl/>
              <w:snapToGrid w:val="0"/>
              <w:spacing w:after="0" w:line="240" w:lineRule="auto"/>
              <w:jc w:val="center"/>
              <w:rPr>
                <w:rFonts w:ascii="Times New Roman" w:hAnsi="Times New Roman" w:eastAsia="黑体"/>
                <w:kern w:val="0"/>
                <w:sz w:val="24"/>
                <w:szCs w:val="24"/>
                <w:highlight w:val="none"/>
              </w:rPr>
            </w:pPr>
            <w:r>
              <w:rPr>
                <w:rFonts w:ascii="Times New Roman" w:hAnsi="Times New Roman" w:eastAsia="黑体"/>
                <w:kern w:val="0"/>
                <w:sz w:val="24"/>
                <w:szCs w:val="24"/>
                <w:highlight w:val="none"/>
              </w:rPr>
              <w:t>序号</w:t>
            </w:r>
          </w:p>
        </w:tc>
        <w:tc>
          <w:tcPr>
            <w:tcW w:w="4601" w:type="dxa"/>
            <w:shd w:val="clear" w:color="auto" w:fill="auto"/>
            <w:vAlign w:val="center"/>
          </w:tcPr>
          <w:p>
            <w:pPr>
              <w:widowControl/>
              <w:snapToGrid w:val="0"/>
              <w:spacing w:after="0" w:line="240" w:lineRule="auto"/>
              <w:jc w:val="center"/>
              <w:rPr>
                <w:rFonts w:ascii="Times New Roman" w:hAnsi="Times New Roman" w:eastAsia="黑体"/>
                <w:kern w:val="0"/>
                <w:sz w:val="24"/>
                <w:szCs w:val="24"/>
                <w:highlight w:val="none"/>
              </w:rPr>
            </w:pPr>
            <w:r>
              <w:rPr>
                <w:rFonts w:ascii="Times New Roman" w:hAnsi="Times New Roman" w:eastAsia="黑体"/>
                <w:kern w:val="0"/>
                <w:sz w:val="24"/>
                <w:szCs w:val="24"/>
                <w:highlight w:val="none"/>
              </w:rPr>
              <w:t>指标</w:t>
            </w:r>
          </w:p>
        </w:tc>
        <w:tc>
          <w:tcPr>
            <w:tcW w:w="996" w:type="dxa"/>
            <w:shd w:val="clear" w:color="auto" w:fill="auto"/>
            <w:vAlign w:val="center"/>
          </w:tcPr>
          <w:p>
            <w:pPr>
              <w:widowControl/>
              <w:snapToGrid w:val="0"/>
              <w:spacing w:after="0" w:line="240" w:lineRule="auto"/>
              <w:jc w:val="center"/>
              <w:rPr>
                <w:rFonts w:ascii="Times New Roman" w:hAnsi="Times New Roman" w:eastAsia="黑体"/>
                <w:kern w:val="0"/>
                <w:sz w:val="24"/>
                <w:szCs w:val="24"/>
                <w:highlight w:val="none"/>
              </w:rPr>
            </w:pPr>
            <w:r>
              <w:rPr>
                <w:rFonts w:ascii="Times New Roman" w:hAnsi="Times New Roman" w:eastAsia="黑体"/>
                <w:kern w:val="0"/>
                <w:sz w:val="24"/>
                <w:szCs w:val="24"/>
                <w:highlight w:val="none"/>
              </w:rPr>
              <w:t>单位</w:t>
            </w:r>
          </w:p>
        </w:tc>
        <w:tc>
          <w:tcPr>
            <w:tcW w:w="1007" w:type="dxa"/>
            <w:shd w:val="clear" w:color="auto" w:fill="auto"/>
            <w:vAlign w:val="center"/>
          </w:tcPr>
          <w:p>
            <w:pPr>
              <w:widowControl/>
              <w:snapToGrid w:val="0"/>
              <w:spacing w:after="0" w:line="240" w:lineRule="auto"/>
              <w:jc w:val="center"/>
              <w:rPr>
                <w:rFonts w:ascii="Times New Roman" w:hAnsi="Times New Roman" w:eastAsia="黑体"/>
                <w:kern w:val="0"/>
                <w:sz w:val="24"/>
                <w:szCs w:val="24"/>
                <w:highlight w:val="none"/>
              </w:rPr>
            </w:pPr>
            <w:r>
              <w:rPr>
                <w:rFonts w:ascii="Times New Roman" w:hAnsi="Times New Roman" w:eastAsia="黑体"/>
                <w:kern w:val="0"/>
                <w:sz w:val="24"/>
                <w:szCs w:val="24"/>
                <w:highlight w:val="none"/>
              </w:rPr>
              <w:t>频率</w:t>
            </w:r>
          </w:p>
        </w:tc>
        <w:tc>
          <w:tcPr>
            <w:tcW w:w="1257" w:type="dxa"/>
            <w:shd w:val="clear" w:color="auto" w:fill="auto"/>
            <w:vAlign w:val="center"/>
          </w:tcPr>
          <w:p>
            <w:pPr>
              <w:widowControl/>
              <w:snapToGrid w:val="0"/>
              <w:spacing w:after="0" w:line="240" w:lineRule="auto"/>
              <w:jc w:val="center"/>
              <w:rPr>
                <w:rFonts w:ascii="Times New Roman" w:hAnsi="Times New Roman" w:eastAsia="黑体"/>
                <w:kern w:val="0"/>
                <w:sz w:val="24"/>
                <w:szCs w:val="24"/>
                <w:highlight w:val="none"/>
              </w:rPr>
            </w:pPr>
            <w:r>
              <w:rPr>
                <w:rFonts w:ascii="Times New Roman" w:hAnsi="Times New Roman" w:eastAsia="黑体"/>
                <w:kern w:val="0"/>
                <w:sz w:val="24"/>
                <w:szCs w:val="24"/>
                <w:highlight w:val="none"/>
              </w:rPr>
              <w:t>责任机构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highlight w:val="none"/>
              </w:rPr>
            </w:pPr>
            <w:r>
              <w:rPr>
                <w:rFonts w:ascii="Times New Roman" w:hAnsi="Times New Roman" w:eastAsia="宋体"/>
                <w:kern w:val="0"/>
                <w:sz w:val="24"/>
                <w:szCs w:val="24"/>
                <w:highlight w:val="none"/>
              </w:rPr>
              <w:t>1</w:t>
            </w:r>
          </w:p>
        </w:tc>
        <w:tc>
          <w:tcPr>
            <w:tcW w:w="4601" w:type="dxa"/>
            <w:vAlign w:val="center"/>
          </w:tcPr>
          <w:p>
            <w:pPr>
              <w:widowControl/>
              <w:snapToGrid w:val="0"/>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项目/子项目准备期间公众参与的次数</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次数</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highlight w:val="none"/>
              </w:rPr>
            </w:pPr>
            <w:r>
              <w:rPr>
                <w:rFonts w:ascii="Times New Roman" w:hAnsi="Times New Roman" w:eastAsia="宋体"/>
                <w:kern w:val="0"/>
                <w:sz w:val="24"/>
                <w:szCs w:val="24"/>
                <w:highlight w:val="none"/>
              </w:rPr>
              <w:t>2</w:t>
            </w:r>
          </w:p>
        </w:tc>
        <w:tc>
          <w:tcPr>
            <w:tcW w:w="4601" w:type="dxa"/>
            <w:vAlign w:val="center"/>
          </w:tcPr>
          <w:p>
            <w:pPr>
              <w:widowControl/>
              <w:snapToGrid w:val="0"/>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项目/子项目建设和/或运营期公众参与的次数</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次数</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highlight w:val="none"/>
              </w:rPr>
            </w:pPr>
            <w:r>
              <w:rPr>
                <w:rFonts w:ascii="Times New Roman" w:hAnsi="Times New Roman" w:eastAsia="宋体"/>
                <w:kern w:val="0"/>
                <w:sz w:val="24"/>
                <w:szCs w:val="24"/>
                <w:highlight w:val="none"/>
              </w:rPr>
              <w:t>3</w:t>
            </w:r>
          </w:p>
        </w:tc>
        <w:tc>
          <w:tcPr>
            <w:tcW w:w="4601" w:type="dxa"/>
            <w:vAlign w:val="center"/>
          </w:tcPr>
          <w:p>
            <w:pPr>
              <w:widowControl/>
              <w:snapToGrid w:val="0"/>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公众参与活动中的参与者数量</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人数</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highlight w:val="none"/>
              </w:rPr>
            </w:pPr>
            <w:r>
              <w:rPr>
                <w:rFonts w:ascii="Times New Roman" w:hAnsi="Times New Roman" w:eastAsia="宋体"/>
                <w:kern w:val="0"/>
                <w:sz w:val="24"/>
                <w:szCs w:val="24"/>
                <w:highlight w:val="none"/>
              </w:rPr>
              <w:t>3.1</w:t>
            </w:r>
          </w:p>
        </w:tc>
        <w:tc>
          <w:tcPr>
            <w:tcW w:w="4601" w:type="dxa"/>
            <w:vAlign w:val="center"/>
          </w:tcPr>
          <w:p>
            <w:pPr>
              <w:widowControl/>
              <w:snapToGrid w:val="0"/>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其中：妇女</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人数</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highlight w:val="none"/>
              </w:rPr>
            </w:pPr>
            <w:r>
              <w:rPr>
                <w:rFonts w:ascii="Times New Roman" w:hAnsi="Times New Roman" w:eastAsia="宋体"/>
                <w:kern w:val="0"/>
                <w:sz w:val="24"/>
                <w:szCs w:val="24"/>
                <w:highlight w:val="none"/>
              </w:rPr>
              <w:t>3.2</w:t>
            </w:r>
          </w:p>
        </w:tc>
        <w:tc>
          <w:tcPr>
            <w:tcW w:w="4601" w:type="dxa"/>
            <w:vAlign w:val="center"/>
          </w:tcPr>
          <w:p>
            <w:pPr>
              <w:widowControl/>
              <w:snapToGrid w:val="0"/>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弱势群体</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人数</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highlight w:val="none"/>
              </w:rPr>
            </w:pPr>
            <w:r>
              <w:rPr>
                <w:rFonts w:ascii="Times New Roman" w:hAnsi="Times New Roman" w:eastAsia="宋体"/>
                <w:kern w:val="0"/>
                <w:sz w:val="24"/>
                <w:szCs w:val="24"/>
                <w:highlight w:val="none"/>
              </w:rPr>
              <w:t>4</w:t>
            </w:r>
          </w:p>
        </w:tc>
        <w:tc>
          <w:tcPr>
            <w:tcW w:w="4601" w:type="dxa"/>
            <w:vAlign w:val="center"/>
          </w:tcPr>
          <w:p>
            <w:pPr>
              <w:widowControl/>
              <w:snapToGrid w:val="0"/>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收到反馈的数量</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条</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highlight w:val="none"/>
              </w:rPr>
            </w:pPr>
            <w:r>
              <w:rPr>
                <w:rFonts w:ascii="Times New Roman" w:hAnsi="Times New Roman" w:eastAsia="宋体"/>
                <w:kern w:val="0"/>
                <w:sz w:val="24"/>
                <w:szCs w:val="24"/>
                <w:highlight w:val="none"/>
              </w:rPr>
              <w:t>5</w:t>
            </w:r>
          </w:p>
        </w:tc>
        <w:tc>
          <w:tcPr>
            <w:tcW w:w="4601" w:type="dxa"/>
            <w:vAlign w:val="center"/>
          </w:tcPr>
          <w:p>
            <w:pPr>
              <w:widowControl/>
              <w:snapToGrid w:val="0"/>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收到的抱怨数</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条</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2" w:type="dxa"/>
            <w:vAlign w:val="center"/>
          </w:tcPr>
          <w:p>
            <w:pPr>
              <w:widowControl/>
              <w:snapToGrid w:val="0"/>
              <w:spacing w:after="0" w:line="240" w:lineRule="auto"/>
              <w:jc w:val="center"/>
              <w:rPr>
                <w:rFonts w:ascii="Times New Roman" w:hAnsi="Times New Roman" w:eastAsia="宋体"/>
                <w:kern w:val="0"/>
                <w:sz w:val="24"/>
                <w:szCs w:val="24"/>
                <w:highlight w:val="none"/>
              </w:rPr>
            </w:pPr>
            <w:r>
              <w:rPr>
                <w:rFonts w:ascii="Times New Roman" w:hAnsi="Times New Roman" w:eastAsia="宋体"/>
                <w:kern w:val="0"/>
                <w:sz w:val="24"/>
                <w:szCs w:val="24"/>
                <w:highlight w:val="none"/>
              </w:rPr>
              <w:t>6</w:t>
            </w:r>
          </w:p>
        </w:tc>
        <w:tc>
          <w:tcPr>
            <w:tcW w:w="4601" w:type="dxa"/>
            <w:vAlign w:val="center"/>
          </w:tcPr>
          <w:p>
            <w:pPr>
              <w:widowControl/>
              <w:snapToGrid w:val="0"/>
              <w:spacing w:after="0" w:line="240" w:lineRule="auto"/>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已处理的抱怨数</w:t>
            </w:r>
          </w:p>
        </w:tc>
        <w:tc>
          <w:tcPr>
            <w:tcW w:w="996"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条</w:t>
            </w:r>
          </w:p>
        </w:tc>
        <w:tc>
          <w:tcPr>
            <w:tcW w:w="100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年度</w:t>
            </w:r>
          </w:p>
        </w:tc>
        <w:tc>
          <w:tcPr>
            <w:tcW w:w="1257" w:type="dxa"/>
            <w:vAlign w:val="center"/>
          </w:tcPr>
          <w:p>
            <w:pPr>
              <w:widowControl/>
              <w:snapToGrid w:val="0"/>
              <w:spacing w:after="0" w:line="240" w:lineRule="auto"/>
              <w:jc w:val="center"/>
              <w:rPr>
                <w:rFonts w:ascii="Times New Roman" w:hAnsi="Times New Roman" w:eastAsia="仿宋_GB2312"/>
                <w:kern w:val="0"/>
                <w:sz w:val="24"/>
                <w:szCs w:val="24"/>
                <w:highlight w:val="none"/>
              </w:rPr>
            </w:pPr>
            <w:r>
              <w:rPr>
                <w:rFonts w:ascii="Times New Roman" w:hAnsi="Times New Roman" w:eastAsia="仿宋_GB2312"/>
                <w:kern w:val="0"/>
                <w:sz w:val="24"/>
                <w:szCs w:val="24"/>
                <w:highlight w:val="none"/>
              </w:rPr>
              <w:t>项目办</w:t>
            </w:r>
          </w:p>
        </w:tc>
      </w:tr>
    </w:tbl>
    <w:p>
      <w:pPr>
        <w:widowControl/>
        <w:rPr>
          <w:rFonts w:ascii="Times New Roman" w:hAnsi="Times New Roman" w:eastAsia="宋体"/>
          <w:kern w:val="0"/>
          <w:sz w:val="24"/>
          <w:szCs w:val="24"/>
          <w:highlight w:val="none"/>
        </w:rPr>
      </w:pPr>
    </w:p>
    <w:p>
      <w:pPr>
        <w:pStyle w:val="4"/>
        <w:adjustRightInd w:val="0"/>
        <w:snapToGrid w:val="0"/>
        <w:spacing w:before="0" w:after="0" w:line="360" w:lineRule="auto"/>
        <w:ind w:left="0" w:firstLine="0"/>
        <w:jc w:val="both"/>
        <w:rPr>
          <w:rFonts w:ascii="Times New Roman" w:hAnsi="Times New Roman" w:eastAsia="楷体_GB2312" w:cs="Times New Roman"/>
          <w:bCs w:val="0"/>
          <w:highlight w:val="none"/>
        </w:rPr>
      </w:pPr>
      <w:bookmarkStart w:id="68" w:name="_Toc151888735"/>
      <w:r>
        <w:rPr>
          <w:rFonts w:ascii="Times New Roman" w:hAnsi="Times New Roman" w:eastAsia="楷体_GB2312" w:cs="Times New Roman"/>
          <w:bCs w:val="0"/>
          <w:highlight w:val="none"/>
        </w:rPr>
        <w:t xml:space="preserve"> 向利益相关方群体反馈</w:t>
      </w:r>
      <w:bookmarkEnd w:id="68"/>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本项目的利益相关方磋商活动的结果将参照上述</w:t>
      </w:r>
      <w:r>
        <w:rPr>
          <w:rFonts w:ascii="Times New Roman" w:hAnsi="Times New Roman" w:eastAsia="仿宋_GB2312"/>
          <w:iCs/>
          <w:kern w:val="0"/>
          <w:sz w:val="32"/>
          <w:szCs w:val="32"/>
          <w:highlight w:val="none"/>
        </w:rPr>
        <w:t>第4章</w:t>
      </w:r>
      <w:r>
        <w:rPr>
          <w:rFonts w:ascii="Times New Roman" w:hAnsi="Times New Roman" w:eastAsia="仿宋_GB2312"/>
          <w:kern w:val="0"/>
          <w:sz w:val="32"/>
          <w:szCs w:val="32"/>
          <w:highlight w:val="none"/>
        </w:rPr>
        <w:t>中拟采用的信息披露策略反馈给受影响利益相关方以及更加广泛的利益相关方群体。</w:t>
      </w:r>
    </w:p>
    <w:p>
      <w:pPr>
        <w:widowControl/>
        <w:adjustRightInd w:val="0"/>
        <w:snapToGrid w:val="0"/>
        <w:spacing w:after="0" w:line="360" w:lineRule="auto"/>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在整个项目周期内，项目办将确保项目抱怨申诉及沟通机制有效运行，以及时与利益相关方沟通，并反馈他们的关注议题。</w:t>
      </w:r>
    </w:p>
    <w:p>
      <w:pPr>
        <w:framePr w:w="7986" w:wrap="around" w:vAnchor="margin" w:hAnchor="text" w:y="1"/>
        <w:widowControl/>
        <w:spacing w:after="0" w:line="500" w:lineRule="exact"/>
        <w:jc w:val="left"/>
        <w:rPr>
          <w:rFonts w:ascii="Times New Roman" w:hAnsi="Times New Roman" w:eastAsia="宋体"/>
          <w:kern w:val="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numPr>
          <w:ilvl w:val="0"/>
          <w:numId w:val="0"/>
        </w:numPr>
        <w:spacing w:before="0" w:after="0" w:line="500" w:lineRule="exact"/>
        <w:jc w:val="both"/>
        <w:rPr>
          <w:rFonts w:ascii="Times New Roman" w:hAnsi="Times New Roman" w:eastAsia="黑体" w:cs="Times New Roman"/>
          <w:b w:val="0"/>
          <w:bCs w:val="0"/>
          <w:sz w:val="32"/>
          <w:szCs w:val="32"/>
          <w:highlight w:val="none"/>
        </w:rPr>
      </w:pPr>
      <w:bookmarkStart w:id="69" w:name="_Toc551103504"/>
      <w:bookmarkStart w:id="70" w:name="_Toc57410669"/>
      <w:bookmarkStart w:id="71" w:name="_Toc70604030"/>
      <w:r>
        <w:rPr>
          <w:rFonts w:ascii="Times New Roman" w:hAnsi="Times New Roman" w:eastAsia="黑体" w:cs="Times New Roman"/>
          <w:b w:val="0"/>
          <w:bCs w:val="0"/>
          <w:sz w:val="32"/>
          <w:szCs w:val="32"/>
          <w:highlight w:val="none"/>
        </w:rPr>
        <w:t xml:space="preserve">附件1 </w:t>
      </w:r>
    </w:p>
    <w:p>
      <w:pPr>
        <w:pStyle w:val="3"/>
        <w:numPr>
          <w:ilvl w:val="0"/>
          <w:numId w:val="0"/>
        </w:numPr>
        <w:spacing w:before="0" w:after="156" w:afterLines="50" w:line="500" w:lineRule="exact"/>
        <w:jc w:val="center"/>
        <w:rPr>
          <w:rFonts w:ascii="Times New Roman" w:hAnsi="Times New Roman" w:eastAsia="黑体" w:cs="Times New Roman"/>
          <w:b w:val="0"/>
          <w:bCs w:val="0"/>
          <w:sz w:val="32"/>
          <w:szCs w:val="32"/>
          <w:highlight w:val="none"/>
        </w:rPr>
      </w:pPr>
      <w:r>
        <w:rPr>
          <w:rFonts w:ascii="Times New Roman" w:hAnsi="Times New Roman" w:eastAsia="黑体" w:cs="Times New Roman"/>
          <w:b w:val="0"/>
          <w:bCs w:val="0"/>
          <w:sz w:val="32"/>
          <w:szCs w:val="32"/>
          <w:highlight w:val="none"/>
        </w:rPr>
        <w:t>抱怨申诉机制样表</w:t>
      </w:r>
      <w:bookmarkEnd w:id="69"/>
      <w:bookmarkEnd w:id="70"/>
      <w:bookmarkEnd w:id="71"/>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35" w:type="dxa"/>
            <w:vAlign w:val="center"/>
          </w:tcPr>
          <w:p>
            <w:pPr>
              <w:spacing w:after="0" w:line="360" w:lineRule="exact"/>
              <w:jc w:val="center"/>
              <w:rPr>
                <w:rFonts w:ascii="Times New Roman" w:hAnsi="Times New Roman" w:eastAsia="宋体"/>
                <w:sz w:val="24"/>
                <w:szCs w:val="24"/>
                <w:highlight w:val="none"/>
              </w:rPr>
            </w:pPr>
            <w:r>
              <w:rPr>
                <w:rFonts w:ascii="Times New Roman" w:hAnsi="Times New Roman" w:eastAsia="宋体"/>
                <w:sz w:val="24"/>
                <w:szCs w:val="24"/>
                <w:highlight w:val="none"/>
              </w:rPr>
              <w:t>内部编号</w:t>
            </w:r>
          </w:p>
        </w:tc>
        <w:tc>
          <w:tcPr>
            <w:tcW w:w="6287" w:type="dxa"/>
          </w:tcPr>
          <w:p>
            <w:pPr>
              <w:spacing w:after="0" w:line="360" w:lineRule="exact"/>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235" w:type="dxa"/>
            <w:vMerge w:val="restart"/>
            <w:vAlign w:val="center"/>
          </w:tcPr>
          <w:p>
            <w:pPr>
              <w:spacing w:after="0" w:line="360" w:lineRule="exact"/>
              <w:jc w:val="center"/>
              <w:rPr>
                <w:rFonts w:ascii="Times New Roman" w:hAnsi="Times New Roman" w:eastAsia="宋体"/>
                <w:sz w:val="24"/>
                <w:szCs w:val="24"/>
                <w:highlight w:val="none"/>
              </w:rPr>
            </w:pPr>
            <w:r>
              <w:rPr>
                <w:rFonts w:ascii="Times New Roman" w:hAnsi="Times New Roman" w:eastAsia="宋体"/>
                <w:sz w:val="24"/>
                <w:szCs w:val="24"/>
                <w:highlight w:val="none"/>
              </w:rPr>
              <w:t>投诉人联系方式</w:t>
            </w:r>
          </w:p>
        </w:tc>
        <w:tc>
          <w:tcPr>
            <w:tcW w:w="6287" w:type="dxa"/>
            <w:vAlign w:val="center"/>
          </w:tcPr>
          <w:p>
            <w:pPr>
              <w:spacing w:after="0" w:line="360" w:lineRule="exact"/>
              <w:rPr>
                <w:rFonts w:ascii="Times New Roman" w:hAnsi="Times New Roman" w:eastAsia="宋体"/>
                <w:sz w:val="24"/>
                <w:szCs w:val="24"/>
                <w:highlight w:val="none"/>
              </w:rPr>
            </w:pPr>
            <w:r>
              <w:rPr>
                <w:rFonts w:ascii="Times New Roman" w:hAnsi="Times New Roman" w:eastAsia="宋体"/>
                <w:sz w:val="24"/>
                <w:szCs w:val="24"/>
                <w:highlight w:val="none"/>
              </w:rPr>
              <w:t>姓名/匿名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vAlign w:val="center"/>
          </w:tcPr>
          <w:p>
            <w:pPr>
              <w:spacing w:after="0" w:line="360" w:lineRule="exact"/>
              <w:jc w:val="center"/>
              <w:rPr>
                <w:rFonts w:ascii="Times New Roman" w:hAnsi="Times New Roman" w:eastAsia="宋体"/>
                <w:sz w:val="24"/>
                <w:szCs w:val="24"/>
                <w:highlight w:val="none"/>
              </w:rPr>
            </w:pPr>
          </w:p>
        </w:tc>
        <w:tc>
          <w:tcPr>
            <w:tcW w:w="6287" w:type="dxa"/>
          </w:tcPr>
          <w:p>
            <w:pPr>
              <w:spacing w:after="0" w:line="360" w:lineRule="exact"/>
              <w:rPr>
                <w:rFonts w:ascii="Times New Roman" w:hAnsi="Times New Roman" w:eastAsia="宋体"/>
                <w:sz w:val="24"/>
                <w:szCs w:val="24"/>
                <w:highlight w:val="none"/>
              </w:rPr>
            </w:pPr>
            <w:r>
              <w:rPr>
                <w:rFonts w:ascii="Times New Roman" w:hAnsi="Times New Roman" w:eastAsia="宋体"/>
                <w:sz w:val="24"/>
                <w:szCs w:val="24"/>
                <w:highlight w:val="none"/>
              </w:rPr>
              <w:t>电话：</w:t>
            </w:r>
          </w:p>
          <w:p>
            <w:pPr>
              <w:spacing w:after="0" w:line="360" w:lineRule="exact"/>
              <w:rPr>
                <w:rFonts w:ascii="Times New Roman" w:hAnsi="Times New Roman" w:eastAsia="宋体"/>
                <w:sz w:val="24"/>
                <w:szCs w:val="24"/>
                <w:highlight w:val="none"/>
              </w:rPr>
            </w:pPr>
            <w:r>
              <w:rPr>
                <w:rFonts w:ascii="Times New Roman" w:hAnsi="Times New Roman" w:eastAsia="宋体"/>
                <w:sz w:val="24"/>
                <w:szCs w:val="24"/>
                <w:highlight w:val="none"/>
              </w:rPr>
              <w:t>电子邮箱：</w:t>
            </w:r>
          </w:p>
          <w:p>
            <w:pPr>
              <w:spacing w:after="0" w:line="360" w:lineRule="exact"/>
              <w:rPr>
                <w:rFonts w:ascii="Times New Roman" w:hAnsi="Times New Roman" w:eastAsia="宋体"/>
                <w:sz w:val="24"/>
                <w:szCs w:val="24"/>
                <w:highlight w:val="none"/>
              </w:rPr>
            </w:pPr>
            <w:r>
              <w:rPr>
                <w:rFonts w:ascii="Times New Roman" w:hAnsi="Times New Roman" w:eastAsia="宋体"/>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2235" w:type="dxa"/>
            <w:vAlign w:val="center"/>
          </w:tcPr>
          <w:p>
            <w:pPr>
              <w:spacing w:after="0" w:line="360" w:lineRule="exact"/>
              <w:jc w:val="center"/>
              <w:rPr>
                <w:rFonts w:ascii="Times New Roman" w:hAnsi="Times New Roman" w:eastAsia="宋体"/>
                <w:sz w:val="24"/>
                <w:szCs w:val="24"/>
                <w:highlight w:val="none"/>
              </w:rPr>
            </w:pPr>
            <w:r>
              <w:rPr>
                <w:rFonts w:ascii="Times New Roman" w:hAnsi="Times New Roman" w:eastAsia="宋体"/>
                <w:sz w:val="24"/>
                <w:szCs w:val="24"/>
                <w:highlight w:val="none"/>
              </w:rPr>
              <w:t>投诉内容</w:t>
            </w:r>
          </w:p>
        </w:tc>
        <w:tc>
          <w:tcPr>
            <w:tcW w:w="6287" w:type="dxa"/>
          </w:tcPr>
          <w:p>
            <w:pPr>
              <w:spacing w:after="0" w:line="360" w:lineRule="exact"/>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35" w:type="dxa"/>
            <w:vAlign w:val="center"/>
          </w:tcPr>
          <w:p>
            <w:pPr>
              <w:spacing w:after="0" w:line="360" w:lineRule="exact"/>
              <w:jc w:val="center"/>
              <w:rPr>
                <w:rFonts w:ascii="Times New Roman" w:hAnsi="Times New Roman" w:eastAsia="宋体"/>
                <w:sz w:val="24"/>
                <w:szCs w:val="24"/>
                <w:highlight w:val="none"/>
              </w:rPr>
            </w:pPr>
            <w:r>
              <w:rPr>
                <w:rFonts w:ascii="Times New Roman" w:hAnsi="Times New Roman" w:eastAsia="宋体"/>
                <w:sz w:val="24"/>
                <w:szCs w:val="24"/>
                <w:highlight w:val="none"/>
              </w:rPr>
              <w:t>申诉接收日期</w:t>
            </w:r>
          </w:p>
        </w:tc>
        <w:tc>
          <w:tcPr>
            <w:tcW w:w="6287" w:type="dxa"/>
          </w:tcPr>
          <w:p>
            <w:pPr>
              <w:spacing w:after="0" w:line="360" w:lineRule="exact"/>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2235" w:type="dxa"/>
            <w:vAlign w:val="center"/>
          </w:tcPr>
          <w:p>
            <w:pPr>
              <w:spacing w:after="0" w:line="360" w:lineRule="exact"/>
              <w:jc w:val="center"/>
              <w:rPr>
                <w:rFonts w:ascii="Times New Roman" w:hAnsi="Times New Roman" w:eastAsia="宋体"/>
                <w:sz w:val="24"/>
                <w:szCs w:val="24"/>
                <w:highlight w:val="none"/>
              </w:rPr>
            </w:pPr>
            <w:r>
              <w:rPr>
                <w:rFonts w:ascii="Times New Roman" w:hAnsi="Times New Roman" w:eastAsia="宋体"/>
                <w:sz w:val="24"/>
                <w:szCs w:val="24"/>
                <w:highlight w:val="none"/>
              </w:rPr>
              <w:t>采取的行动</w:t>
            </w:r>
          </w:p>
        </w:tc>
        <w:tc>
          <w:tcPr>
            <w:tcW w:w="6287" w:type="dxa"/>
          </w:tcPr>
          <w:p>
            <w:pPr>
              <w:spacing w:after="0" w:line="360" w:lineRule="exact"/>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5" w:type="dxa"/>
            <w:vAlign w:val="center"/>
          </w:tcPr>
          <w:p>
            <w:pPr>
              <w:spacing w:after="0" w:line="360" w:lineRule="exact"/>
              <w:jc w:val="center"/>
              <w:rPr>
                <w:rFonts w:ascii="Times New Roman" w:hAnsi="Times New Roman" w:eastAsia="宋体"/>
                <w:sz w:val="24"/>
                <w:szCs w:val="24"/>
                <w:highlight w:val="none"/>
              </w:rPr>
            </w:pPr>
            <w:r>
              <w:rPr>
                <w:rFonts w:ascii="Times New Roman" w:hAnsi="Times New Roman" w:eastAsia="宋体"/>
                <w:sz w:val="24"/>
                <w:szCs w:val="24"/>
                <w:highlight w:val="none"/>
              </w:rPr>
              <w:t>解决方案是否满意</w:t>
            </w:r>
          </w:p>
        </w:tc>
        <w:tc>
          <w:tcPr>
            <w:tcW w:w="6287" w:type="dxa"/>
            <w:vAlign w:val="center"/>
          </w:tcPr>
          <w:p>
            <w:pPr>
              <w:spacing w:after="0" w:line="360" w:lineRule="exact"/>
              <w:rPr>
                <w:rFonts w:ascii="宋体" w:hAnsi="宋体" w:eastAsia="宋体"/>
                <w:sz w:val="24"/>
                <w:szCs w:val="24"/>
                <w:highlight w:val="none"/>
              </w:rPr>
            </w:pPr>
            <w:r>
              <w:rPr>
                <w:rFonts w:ascii="宋体" w:hAnsi="宋体" w:eastAsia="宋体"/>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5" w:type="dxa"/>
            <w:vAlign w:val="center"/>
          </w:tcPr>
          <w:p>
            <w:pPr>
              <w:spacing w:after="0" w:line="360" w:lineRule="exact"/>
              <w:jc w:val="center"/>
              <w:rPr>
                <w:rFonts w:ascii="Times New Roman" w:hAnsi="Times New Roman" w:eastAsia="宋体"/>
                <w:sz w:val="24"/>
                <w:szCs w:val="24"/>
                <w:highlight w:val="none"/>
              </w:rPr>
            </w:pPr>
            <w:r>
              <w:rPr>
                <w:rFonts w:ascii="Times New Roman" w:hAnsi="Times New Roman" w:eastAsia="宋体"/>
                <w:sz w:val="24"/>
                <w:szCs w:val="24"/>
                <w:highlight w:val="none"/>
              </w:rPr>
              <w:t>解决日期</w:t>
            </w:r>
          </w:p>
        </w:tc>
        <w:tc>
          <w:tcPr>
            <w:tcW w:w="6287" w:type="dxa"/>
          </w:tcPr>
          <w:p>
            <w:pPr>
              <w:spacing w:after="0" w:line="360" w:lineRule="exact"/>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5" w:type="dxa"/>
            <w:vAlign w:val="center"/>
          </w:tcPr>
          <w:p>
            <w:pPr>
              <w:spacing w:after="0" w:line="360" w:lineRule="exact"/>
              <w:jc w:val="center"/>
              <w:rPr>
                <w:rFonts w:ascii="Times New Roman" w:hAnsi="Times New Roman" w:eastAsia="宋体"/>
                <w:sz w:val="24"/>
                <w:szCs w:val="24"/>
                <w:highlight w:val="none"/>
              </w:rPr>
            </w:pPr>
            <w:r>
              <w:rPr>
                <w:rFonts w:ascii="Times New Roman" w:hAnsi="Times New Roman" w:eastAsia="宋体"/>
                <w:sz w:val="24"/>
                <w:szCs w:val="24"/>
                <w:highlight w:val="none"/>
              </w:rPr>
              <w:t>是否需要后续监测</w:t>
            </w:r>
          </w:p>
        </w:tc>
        <w:tc>
          <w:tcPr>
            <w:tcW w:w="6287" w:type="dxa"/>
          </w:tcPr>
          <w:p>
            <w:pPr>
              <w:spacing w:after="0" w:line="360" w:lineRule="exact"/>
              <w:rPr>
                <w:rFonts w:ascii="Times New Roman" w:hAnsi="Times New Roman"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2235" w:type="dxa"/>
            <w:vAlign w:val="center"/>
          </w:tcPr>
          <w:p>
            <w:pPr>
              <w:spacing w:after="0" w:line="360" w:lineRule="exact"/>
              <w:jc w:val="center"/>
              <w:rPr>
                <w:rFonts w:ascii="Times New Roman" w:hAnsi="Times New Roman" w:eastAsia="宋体"/>
                <w:sz w:val="24"/>
                <w:szCs w:val="24"/>
                <w:highlight w:val="none"/>
              </w:rPr>
            </w:pPr>
            <w:r>
              <w:rPr>
                <w:rFonts w:ascii="Times New Roman" w:hAnsi="Times New Roman" w:eastAsia="宋体"/>
                <w:sz w:val="24"/>
                <w:szCs w:val="24"/>
                <w:highlight w:val="none"/>
              </w:rPr>
              <w:t>避免同类事件</w:t>
            </w:r>
          </w:p>
          <w:p>
            <w:pPr>
              <w:spacing w:after="0" w:line="360" w:lineRule="exact"/>
              <w:jc w:val="center"/>
              <w:rPr>
                <w:rFonts w:ascii="Times New Roman" w:hAnsi="Times New Roman" w:eastAsia="宋体"/>
                <w:sz w:val="24"/>
                <w:szCs w:val="24"/>
                <w:highlight w:val="none"/>
              </w:rPr>
            </w:pPr>
            <w:r>
              <w:rPr>
                <w:rFonts w:ascii="Times New Roman" w:hAnsi="Times New Roman" w:eastAsia="宋体"/>
                <w:sz w:val="24"/>
                <w:szCs w:val="24"/>
                <w:highlight w:val="none"/>
              </w:rPr>
              <w:t>发生的建议</w:t>
            </w:r>
          </w:p>
        </w:tc>
        <w:tc>
          <w:tcPr>
            <w:tcW w:w="6287" w:type="dxa"/>
          </w:tcPr>
          <w:p>
            <w:pPr>
              <w:spacing w:after="0" w:line="360" w:lineRule="exact"/>
              <w:rPr>
                <w:rFonts w:ascii="Times New Roman" w:hAnsi="Times New Roman" w:eastAsia="宋体"/>
                <w:sz w:val="24"/>
                <w:szCs w:val="24"/>
                <w:highlight w:val="none"/>
              </w:rPr>
            </w:pPr>
          </w:p>
          <w:p>
            <w:pPr>
              <w:spacing w:after="0" w:line="360" w:lineRule="exact"/>
              <w:rPr>
                <w:rFonts w:ascii="Times New Roman" w:hAnsi="Times New Roman" w:eastAsia="宋体"/>
                <w:sz w:val="24"/>
                <w:szCs w:val="24"/>
                <w:highlight w:val="none"/>
              </w:rPr>
            </w:pPr>
          </w:p>
          <w:p>
            <w:pPr>
              <w:spacing w:after="0" w:line="360" w:lineRule="exact"/>
              <w:rPr>
                <w:rFonts w:ascii="Times New Roman" w:hAnsi="Times New Roman" w:eastAsia="宋体"/>
                <w:sz w:val="24"/>
                <w:szCs w:val="24"/>
                <w:highlight w:val="none"/>
              </w:rPr>
            </w:pPr>
          </w:p>
          <w:p>
            <w:pPr>
              <w:spacing w:after="0" w:line="360" w:lineRule="exact"/>
              <w:rPr>
                <w:rFonts w:ascii="Times New Roman" w:hAnsi="Times New Roman" w:eastAsia="宋体"/>
                <w:sz w:val="24"/>
                <w:szCs w:val="24"/>
                <w:highlight w:val="none"/>
              </w:rPr>
            </w:pPr>
          </w:p>
          <w:p>
            <w:pPr>
              <w:spacing w:after="0" w:line="360" w:lineRule="exact"/>
              <w:rPr>
                <w:rFonts w:ascii="Times New Roman" w:hAnsi="Times New Roman" w:eastAsia="宋体"/>
                <w:sz w:val="24"/>
                <w:szCs w:val="24"/>
                <w:highlight w:val="none"/>
              </w:rPr>
            </w:pPr>
          </w:p>
          <w:p>
            <w:pPr>
              <w:spacing w:after="0" w:line="360" w:lineRule="exact"/>
              <w:rPr>
                <w:rFonts w:ascii="Times New Roman" w:hAnsi="Times New Roman" w:eastAsia="宋体"/>
                <w:sz w:val="24"/>
                <w:szCs w:val="24"/>
                <w:highlight w:val="none"/>
              </w:rPr>
            </w:pPr>
          </w:p>
        </w:tc>
      </w:tr>
    </w:tbl>
    <w:p>
      <w:pPr>
        <w:spacing w:line="240" w:lineRule="exact"/>
        <w:rPr>
          <w:rFonts w:ascii="Times New Roman" w:hAnsi="Times New Roman" w:eastAsia="宋体"/>
          <w:kern w:val="0"/>
          <w:sz w:val="24"/>
          <w:szCs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840512"/>
    </w:sdtPr>
    <w:sdtContent>
      <w:p>
        <w:pPr>
          <w:pStyle w:val="18"/>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sdtContent>
  </w:sdt>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1"/>
        <w:rPr>
          <w:rFonts w:ascii="仿宋" w:hAnsi="仿宋" w:eastAsia="仿宋" w:cs="仿宋"/>
        </w:rPr>
      </w:pPr>
      <w:r>
        <w:rPr>
          <w:rStyle w:val="31"/>
          <w:rFonts w:hint="eastAsia" w:ascii="仿宋" w:hAnsi="仿宋" w:eastAsia="仿宋" w:cs="仿宋"/>
        </w:rPr>
        <w:footnoteRef/>
      </w:r>
      <w:r>
        <w:rPr>
          <w:rFonts w:hint="eastAsia" w:ascii="仿宋" w:hAnsi="仿宋" w:eastAsia="仿宋" w:cs="仿宋"/>
        </w:rPr>
        <w:t xml:space="preserve"> 弱势群体是指那部分群体或个人因自身脆弱性因素的限制，在项目准备、实施及运行中更容易受到负面影响的人。本相关目中相关脆弱性因素包括性别，语言，年龄、残疾等。如老年人可能因为不会使用智能设备，而被排除在项目服务之外；对于外来人口，在公众参与中，需要使用普通话；对伤残人员，需在设施设计和使用中考虑专门通道或设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508C5"/>
    <w:multiLevelType w:val="multilevel"/>
    <w:tmpl w:val="1E8508C5"/>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
    <w:nsid w:val="4D24209C"/>
    <w:multiLevelType w:val="multilevel"/>
    <w:tmpl w:val="4D24209C"/>
    <w:lvl w:ilvl="0" w:tentative="0">
      <w:start w:val="1"/>
      <w:numFmt w:val="decimal"/>
      <w:pStyle w:val="3"/>
      <w:lvlText w:val="%1"/>
      <w:lvlJc w:val="left"/>
      <w:pPr>
        <w:ind w:left="432" w:hanging="432"/>
      </w:pPr>
    </w:lvl>
    <w:lvl w:ilvl="1" w:tentative="0">
      <w:start w:val="1"/>
      <w:numFmt w:val="decimal"/>
      <w:pStyle w:val="4"/>
      <w:lvlText w:val="%1.%2"/>
      <w:lvlJc w:val="left"/>
      <w:pPr>
        <w:ind w:left="718" w:hanging="576"/>
      </w:pPr>
      <w:rPr>
        <w:rFonts w:hint="default" w:ascii="Times New Roman" w:hAnsi="Times New Roman" w:cs="Times New Roman"/>
        <w:sz w:val="32"/>
        <w:szCs w:val="32"/>
      </w:r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3NWQ4ZjgxMzI5OGUxOWMwNzVkODIyNzI0YjEzYjcifQ=="/>
  </w:docVars>
  <w:rsids>
    <w:rsidRoot w:val="00A7167A"/>
    <w:rsid w:val="000011AD"/>
    <w:rsid w:val="00002800"/>
    <w:rsid w:val="000071B1"/>
    <w:rsid w:val="000074B6"/>
    <w:rsid w:val="00011B39"/>
    <w:rsid w:val="0001242F"/>
    <w:rsid w:val="00025770"/>
    <w:rsid w:val="00034161"/>
    <w:rsid w:val="00035ADD"/>
    <w:rsid w:val="000400A2"/>
    <w:rsid w:val="00045AB0"/>
    <w:rsid w:val="000466FC"/>
    <w:rsid w:val="00051766"/>
    <w:rsid w:val="000555ED"/>
    <w:rsid w:val="0005621D"/>
    <w:rsid w:val="00057D7C"/>
    <w:rsid w:val="00064ADE"/>
    <w:rsid w:val="000665FB"/>
    <w:rsid w:val="000674CC"/>
    <w:rsid w:val="00073D51"/>
    <w:rsid w:val="00094DE3"/>
    <w:rsid w:val="00096103"/>
    <w:rsid w:val="00097B6F"/>
    <w:rsid w:val="000A0ACD"/>
    <w:rsid w:val="000A0C52"/>
    <w:rsid w:val="000A3883"/>
    <w:rsid w:val="000B35D4"/>
    <w:rsid w:val="000B7D13"/>
    <w:rsid w:val="000D5E0D"/>
    <w:rsid w:val="000D62CE"/>
    <w:rsid w:val="000D63FB"/>
    <w:rsid w:val="000E3862"/>
    <w:rsid w:val="000E3D0B"/>
    <w:rsid w:val="000F243B"/>
    <w:rsid w:val="0010211D"/>
    <w:rsid w:val="001021CC"/>
    <w:rsid w:val="001100F2"/>
    <w:rsid w:val="001112B9"/>
    <w:rsid w:val="00111CA7"/>
    <w:rsid w:val="00114B2F"/>
    <w:rsid w:val="00115388"/>
    <w:rsid w:val="00120982"/>
    <w:rsid w:val="00120FB7"/>
    <w:rsid w:val="001238CD"/>
    <w:rsid w:val="00126535"/>
    <w:rsid w:val="00127C86"/>
    <w:rsid w:val="00127DFA"/>
    <w:rsid w:val="00144180"/>
    <w:rsid w:val="00146D73"/>
    <w:rsid w:val="0014789F"/>
    <w:rsid w:val="001522E8"/>
    <w:rsid w:val="001667A4"/>
    <w:rsid w:val="00176E13"/>
    <w:rsid w:val="00177A83"/>
    <w:rsid w:val="00187A8B"/>
    <w:rsid w:val="001936D5"/>
    <w:rsid w:val="00196604"/>
    <w:rsid w:val="001A61F9"/>
    <w:rsid w:val="001B6223"/>
    <w:rsid w:val="001C1551"/>
    <w:rsid w:val="001C688C"/>
    <w:rsid w:val="001C69AF"/>
    <w:rsid w:val="001D0AA2"/>
    <w:rsid w:val="001D553A"/>
    <w:rsid w:val="001D59A4"/>
    <w:rsid w:val="0020397C"/>
    <w:rsid w:val="0020751C"/>
    <w:rsid w:val="00221B46"/>
    <w:rsid w:val="002228D3"/>
    <w:rsid w:val="00240ED4"/>
    <w:rsid w:val="002437C5"/>
    <w:rsid w:val="00262861"/>
    <w:rsid w:val="002652AB"/>
    <w:rsid w:val="0026626A"/>
    <w:rsid w:val="002743D3"/>
    <w:rsid w:val="00285509"/>
    <w:rsid w:val="00290782"/>
    <w:rsid w:val="002A6A71"/>
    <w:rsid w:val="002B17FC"/>
    <w:rsid w:val="002B7E95"/>
    <w:rsid w:val="002D1F30"/>
    <w:rsid w:val="002E6312"/>
    <w:rsid w:val="002F05D4"/>
    <w:rsid w:val="002F073D"/>
    <w:rsid w:val="002F7B2A"/>
    <w:rsid w:val="00307124"/>
    <w:rsid w:val="003215E0"/>
    <w:rsid w:val="00337C39"/>
    <w:rsid w:val="00347E69"/>
    <w:rsid w:val="00353CBC"/>
    <w:rsid w:val="0036386E"/>
    <w:rsid w:val="00364C42"/>
    <w:rsid w:val="00370CCF"/>
    <w:rsid w:val="00377B4E"/>
    <w:rsid w:val="00395375"/>
    <w:rsid w:val="003A3DE0"/>
    <w:rsid w:val="003B0C17"/>
    <w:rsid w:val="003B7FC6"/>
    <w:rsid w:val="003C17B9"/>
    <w:rsid w:val="003C18E1"/>
    <w:rsid w:val="003C4DFF"/>
    <w:rsid w:val="003C77B6"/>
    <w:rsid w:val="003D5CE9"/>
    <w:rsid w:val="003D6CCC"/>
    <w:rsid w:val="003E1CF1"/>
    <w:rsid w:val="003E2585"/>
    <w:rsid w:val="003E2FF7"/>
    <w:rsid w:val="003E3EC7"/>
    <w:rsid w:val="00403F07"/>
    <w:rsid w:val="00404A3C"/>
    <w:rsid w:val="00406A76"/>
    <w:rsid w:val="00406BDE"/>
    <w:rsid w:val="00410D8F"/>
    <w:rsid w:val="00421E19"/>
    <w:rsid w:val="004347D4"/>
    <w:rsid w:val="0044781E"/>
    <w:rsid w:val="00453EC8"/>
    <w:rsid w:val="00457BCC"/>
    <w:rsid w:val="00460363"/>
    <w:rsid w:val="00462F1D"/>
    <w:rsid w:val="00467FF4"/>
    <w:rsid w:val="00471DC0"/>
    <w:rsid w:val="00471F79"/>
    <w:rsid w:val="00474DF7"/>
    <w:rsid w:val="00482F9E"/>
    <w:rsid w:val="00491A8E"/>
    <w:rsid w:val="004A1793"/>
    <w:rsid w:val="004B5AEC"/>
    <w:rsid w:val="004C17A6"/>
    <w:rsid w:val="004C1E8C"/>
    <w:rsid w:val="004D2B56"/>
    <w:rsid w:val="004D3705"/>
    <w:rsid w:val="004E5449"/>
    <w:rsid w:val="005041F2"/>
    <w:rsid w:val="00512500"/>
    <w:rsid w:val="005164E3"/>
    <w:rsid w:val="0052581E"/>
    <w:rsid w:val="0054053E"/>
    <w:rsid w:val="0054146C"/>
    <w:rsid w:val="00542DFF"/>
    <w:rsid w:val="005433CC"/>
    <w:rsid w:val="00544D22"/>
    <w:rsid w:val="0054745C"/>
    <w:rsid w:val="0055793C"/>
    <w:rsid w:val="0056395C"/>
    <w:rsid w:val="005800DD"/>
    <w:rsid w:val="00585549"/>
    <w:rsid w:val="0059341D"/>
    <w:rsid w:val="0059452F"/>
    <w:rsid w:val="00597A3D"/>
    <w:rsid w:val="005A6371"/>
    <w:rsid w:val="005C3CB8"/>
    <w:rsid w:val="005C4DAE"/>
    <w:rsid w:val="005D0BA9"/>
    <w:rsid w:val="005E1A02"/>
    <w:rsid w:val="005E1E2D"/>
    <w:rsid w:val="005F74E9"/>
    <w:rsid w:val="00604178"/>
    <w:rsid w:val="0060702F"/>
    <w:rsid w:val="00617BA8"/>
    <w:rsid w:val="006504DA"/>
    <w:rsid w:val="00650F77"/>
    <w:rsid w:val="00652232"/>
    <w:rsid w:val="006531F7"/>
    <w:rsid w:val="006534E6"/>
    <w:rsid w:val="00654179"/>
    <w:rsid w:val="00657703"/>
    <w:rsid w:val="006854AF"/>
    <w:rsid w:val="006941A8"/>
    <w:rsid w:val="00694D3C"/>
    <w:rsid w:val="006A0690"/>
    <w:rsid w:val="006A3B7E"/>
    <w:rsid w:val="006B5EA1"/>
    <w:rsid w:val="006B70F2"/>
    <w:rsid w:val="006C1C83"/>
    <w:rsid w:val="006D3B94"/>
    <w:rsid w:val="006D5DFA"/>
    <w:rsid w:val="007074E9"/>
    <w:rsid w:val="007309A7"/>
    <w:rsid w:val="00750A84"/>
    <w:rsid w:val="00770E0B"/>
    <w:rsid w:val="007712DE"/>
    <w:rsid w:val="00781D22"/>
    <w:rsid w:val="00782747"/>
    <w:rsid w:val="007906A2"/>
    <w:rsid w:val="00791D9B"/>
    <w:rsid w:val="007A15D8"/>
    <w:rsid w:val="007B0284"/>
    <w:rsid w:val="007B2298"/>
    <w:rsid w:val="007B66C1"/>
    <w:rsid w:val="007C6C80"/>
    <w:rsid w:val="007D02CE"/>
    <w:rsid w:val="007D0E6C"/>
    <w:rsid w:val="007D5537"/>
    <w:rsid w:val="007E0C5D"/>
    <w:rsid w:val="007F2642"/>
    <w:rsid w:val="00805AEB"/>
    <w:rsid w:val="00812074"/>
    <w:rsid w:val="008240E1"/>
    <w:rsid w:val="00824497"/>
    <w:rsid w:val="00826507"/>
    <w:rsid w:val="00830E96"/>
    <w:rsid w:val="00834016"/>
    <w:rsid w:val="00843339"/>
    <w:rsid w:val="00846F3F"/>
    <w:rsid w:val="00850D0B"/>
    <w:rsid w:val="00853D03"/>
    <w:rsid w:val="00857EAF"/>
    <w:rsid w:val="00862321"/>
    <w:rsid w:val="00864D86"/>
    <w:rsid w:val="00871851"/>
    <w:rsid w:val="008743B1"/>
    <w:rsid w:val="00881602"/>
    <w:rsid w:val="00881F91"/>
    <w:rsid w:val="008B0B3A"/>
    <w:rsid w:val="008B4502"/>
    <w:rsid w:val="008B5508"/>
    <w:rsid w:val="008C0895"/>
    <w:rsid w:val="008C1EFF"/>
    <w:rsid w:val="008C3A44"/>
    <w:rsid w:val="008C5C65"/>
    <w:rsid w:val="008D5CB8"/>
    <w:rsid w:val="008D5CF0"/>
    <w:rsid w:val="008E4CB1"/>
    <w:rsid w:val="008E7230"/>
    <w:rsid w:val="008F26A7"/>
    <w:rsid w:val="008F3B48"/>
    <w:rsid w:val="008F3E8E"/>
    <w:rsid w:val="008F453A"/>
    <w:rsid w:val="008F54BE"/>
    <w:rsid w:val="008F756C"/>
    <w:rsid w:val="00905CA9"/>
    <w:rsid w:val="00906FEA"/>
    <w:rsid w:val="00907DE5"/>
    <w:rsid w:val="00910615"/>
    <w:rsid w:val="00914E24"/>
    <w:rsid w:val="00924107"/>
    <w:rsid w:val="00924E05"/>
    <w:rsid w:val="00942434"/>
    <w:rsid w:val="00942EE4"/>
    <w:rsid w:val="00944FB2"/>
    <w:rsid w:val="00953C2B"/>
    <w:rsid w:val="00955178"/>
    <w:rsid w:val="00955D42"/>
    <w:rsid w:val="00962FEE"/>
    <w:rsid w:val="009672BB"/>
    <w:rsid w:val="00971646"/>
    <w:rsid w:val="0097168F"/>
    <w:rsid w:val="00975A95"/>
    <w:rsid w:val="0098069C"/>
    <w:rsid w:val="009830C5"/>
    <w:rsid w:val="0098356E"/>
    <w:rsid w:val="00996CA4"/>
    <w:rsid w:val="009A028F"/>
    <w:rsid w:val="009A7530"/>
    <w:rsid w:val="009B0063"/>
    <w:rsid w:val="009B231B"/>
    <w:rsid w:val="009C68D9"/>
    <w:rsid w:val="009D07CB"/>
    <w:rsid w:val="009D2025"/>
    <w:rsid w:val="009D2142"/>
    <w:rsid w:val="009D2893"/>
    <w:rsid w:val="009E0597"/>
    <w:rsid w:val="009E7165"/>
    <w:rsid w:val="009F64DC"/>
    <w:rsid w:val="00A11611"/>
    <w:rsid w:val="00A11723"/>
    <w:rsid w:val="00A15FC1"/>
    <w:rsid w:val="00A23732"/>
    <w:rsid w:val="00A23DB8"/>
    <w:rsid w:val="00A26BB0"/>
    <w:rsid w:val="00A271BB"/>
    <w:rsid w:val="00A3356D"/>
    <w:rsid w:val="00A35A1C"/>
    <w:rsid w:val="00A35B6E"/>
    <w:rsid w:val="00A4617B"/>
    <w:rsid w:val="00A63093"/>
    <w:rsid w:val="00A64197"/>
    <w:rsid w:val="00A641DF"/>
    <w:rsid w:val="00A64C30"/>
    <w:rsid w:val="00A67F70"/>
    <w:rsid w:val="00A7167A"/>
    <w:rsid w:val="00A71AF1"/>
    <w:rsid w:val="00A900C3"/>
    <w:rsid w:val="00A941B2"/>
    <w:rsid w:val="00A97076"/>
    <w:rsid w:val="00A9747E"/>
    <w:rsid w:val="00AA535A"/>
    <w:rsid w:val="00AB18A0"/>
    <w:rsid w:val="00AB3B9E"/>
    <w:rsid w:val="00AC7886"/>
    <w:rsid w:val="00AD37D8"/>
    <w:rsid w:val="00AD5583"/>
    <w:rsid w:val="00AD71DA"/>
    <w:rsid w:val="00AF083D"/>
    <w:rsid w:val="00AF4BCD"/>
    <w:rsid w:val="00AF5045"/>
    <w:rsid w:val="00AF73D9"/>
    <w:rsid w:val="00B1304A"/>
    <w:rsid w:val="00B16D0D"/>
    <w:rsid w:val="00B17865"/>
    <w:rsid w:val="00B2162B"/>
    <w:rsid w:val="00B2193B"/>
    <w:rsid w:val="00B21E90"/>
    <w:rsid w:val="00B30F12"/>
    <w:rsid w:val="00B31217"/>
    <w:rsid w:val="00B40E62"/>
    <w:rsid w:val="00B4710A"/>
    <w:rsid w:val="00B537DD"/>
    <w:rsid w:val="00B55BA0"/>
    <w:rsid w:val="00B57307"/>
    <w:rsid w:val="00B627AE"/>
    <w:rsid w:val="00B64E2C"/>
    <w:rsid w:val="00B92470"/>
    <w:rsid w:val="00B9624B"/>
    <w:rsid w:val="00B96A4F"/>
    <w:rsid w:val="00BA0D3E"/>
    <w:rsid w:val="00BA1BE9"/>
    <w:rsid w:val="00BA593B"/>
    <w:rsid w:val="00BA7473"/>
    <w:rsid w:val="00BB60E9"/>
    <w:rsid w:val="00BB6E12"/>
    <w:rsid w:val="00BC60AE"/>
    <w:rsid w:val="00BD1A73"/>
    <w:rsid w:val="00BE3D41"/>
    <w:rsid w:val="00BF2141"/>
    <w:rsid w:val="00BF38C5"/>
    <w:rsid w:val="00BF796A"/>
    <w:rsid w:val="00C01AC4"/>
    <w:rsid w:val="00C01D3B"/>
    <w:rsid w:val="00C11579"/>
    <w:rsid w:val="00C24BB5"/>
    <w:rsid w:val="00C31F04"/>
    <w:rsid w:val="00C34AF8"/>
    <w:rsid w:val="00C35809"/>
    <w:rsid w:val="00C407F4"/>
    <w:rsid w:val="00C41E18"/>
    <w:rsid w:val="00C45D1E"/>
    <w:rsid w:val="00C536FF"/>
    <w:rsid w:val="00C61CF5"/>
    <w:rsid w:val="00C63821"/>
    <w:rsid w:val="00C63CA5"/>
    <w:rsid w:val="00C6773C"/>
    <w:rsid w:val="00C70313"/>
    <w:rsid w:val="00C80B7C"/>
    <w:rsid w:val="00C80ECF"/>
    <w:rsid w:val="00C90FB0"/>
    <w:rsid w:val="00C969AA"/>
    <w:rsid w:val="00CA101E"/>
    <w:rsid w:val="00CA5853"/>
    <w:rsid w:val="00CA7B99"/>
    <w:rsid w:val="00CB095A"/>
    <w:rsid w:val="00CB10A3"/>
    <w:rsid w:val="00CB1ABE"/>
    <w:rsid w:val="00CB2361"/>
    <w:rsid w:val="00CE66C1"/>
    <w:rsid w:val="00CE6AF7"/>
    <w:rsid w:val="00CF5837"/>
    <w:rsid w:val="00CF643A"/>
    <w:rsid w:val="00CF7A50"/>
    <w:rsid w:val="00D02CBD"/>
    <w:rsid w:val="00D03682"/>
    <w:rsid w:val="00D07390"/>
    <w:rsid w:val="00D12A15"/>
    <w:rsid w:val="00D16661"/>
    <w:rsid w:val="00D33AF9"/>
    <w:rsid w:val="00D37B06"/>
    <w:rsid w:val="00D534B3"/>
    <w:rsid w:val="00D65E67"/>
    <w:rsid w:val="00D70DE7"/>
    <w:rsid w:val="00D7160F"/>
    <w:rsid w:val="00D73B5B"/>
    <w:rsid w:val="00D85D89"/>
    <w:rsid w:val="00D96462"/>
    <w:rsid w:val="00DA1E35"/>
    <w:rsid w:val="00DC1091"/>
    <w:rsid w:val="00DE3138"/>
    <w:rsid w:val="00DE380D"/>
    <w:rsid w:val="00DE5441"/>
    <w:rsid w:val="00E016F4"/>
    <w:rsid w:val="00E1239B"/>
    <w:rsid w:val="00E20144"/>
    <w:rsid w:val="00E36F01"/>
    <w:rsid w:val="00E44E58"/>
    <w:rsid w:val="00E47E25"/>
    <w:rsid w:val="00E5407C"/>
    <w:rsid w:val="00E543EF"/>
    <w:rsid w:val="00E54B94"/>
    <w:rsid w:val="00E62EDA"/>
    <w:rsid w:val="00E67A1F"/>
    <w:rsid w:val="00E701E3"/>
    <w:rsid w:val="00E94327"/>
    <w:rsid w:val="00E94548"/>
    <w:rsid w:val="00E973BF"/>
    <w:rsid w:val="00EA41AC"/>
    <w:rsid w:val="00EB19DD"/>
    <w:rsid w:val="00EE563F"/>
    <w:rsid w:val="00F13A59"/>
    <w:rsid w:val="00F1408B"/>
    <w:rsid w:val="00F3725F"/>
    <w:rsid w:val="00F40E8B"/>
    <w:rsid w:val="00F44AC4"/>
    <w:rsid w:val="00F45F25"/>
    <w:rsid w:val="00F67232"/>
    <w:rsid w:val="00F676AE"/>
    <w:rsid w:val="00F755CD"/>
    <w:rsid w:val="00F87343"/>
    <w:rsid w:val="00F91EAB"/>
    <w:rsid w:val="00FA4435"/>
    <w:rsid w:val="00FA6DE5"/>
    <w:rsid w:val="00FB320C"/>
    <w:rsid w:val="00FC0C67"/>
    <w:rsid w:val="00FC3C51"/>
    <w:rsid w:val="00FC5D7D"/>
    <w:rsid w:val="00FD4831"/>
    <w:rsid w:val="00FF44CF"/>
    <w:rsid w:val="01055E23"/>
    <w:rsid w:val="02CE2323"/>
    <w:rsid w:val="035427DE"/>
    <w:rsid w:val="06B304C9"/>
    <w:rsid w:val="09AB0511"/>
    <w:rsid w:val="0D862E66"/>
    <w:rsid w:val="0DEF100E"/>
    <w:rsid w:val="0E553A50"/>
    <w:rsid w:val="0E843DEE"/>
    <w:rsid w:val="0F4A2F07"/>
    <w:rsid w:val="0F9E2812"/>
    <w:rsid w:val="0FC63311"/>
    <w:rsid w:val="11EA75D6"/>
    <w:rsid w:val="12681027"/>
    <w:rsid w:val="126C4880"/>
    <w:rsid w:val="15A25479"/>
    <w:rsid w:val="15C90247"/>
    <w:rsid w:val="15E839EB"/>
    <w:rsid w:val="16277D5B"/>
    <w:rsid w:val="169228A0"/>
    <w:rsid w:val="17CB6EEE"/>
    <w:rsid w:val="1BFBE3F0"/>
    <w:rsid w:val="1E5458C7"/>
    <w:rsid w:val="20D75760"/>
    <w:rsid w:val="24365268"/>
    <w:rsid w:val="24A41DCB"/>
    <w:rsid w:val="2785068F"/>
    <w:rsid w:val="27AD3631"/>
    <w:rsid w:val="2BFBFF1C"/>
    <w:rsid w:val="2BFC0D6D"/>
    <w:rsid w:val="2C39130E"/>
    <w:rsid w:val="2CFB03AD"/>
    <w:rsid w:val="2FBEE8C6"/>
    <w:rsid w:val="2FC7479F"/>
    <w:rsid w:val="30A43EDB"/>
    <w:rsid w:val="30F80408"/>
    <w:rsid w:val="31750C8F"/>
    <w:rsid w:val="31B506A0"/>
    <w:rsid w:val="338505AD"/>
    <w:rsid w:val="37606C11"/>
    <w:rsid w:val="39062E48"/>
    <w:rsid w:val="393C6645"/>
    <w:rsid w:val="396D2480"/>
    <w:rsid w:val="398849F0"/>
    <w:rsid w:val="3E2B392D"/>
    <w:rsid w:val="3E6F6742"/>
    <w:rsid w:val="3FCB707C"/>
    <w:rsid w:val="40055260"/>
    <w:rsid w:val="40615A63"/>
    <w:rsid w:val="407B4D79"/>
    <w:rsid w:val="433809A8"/>
    <w:rsid w:val="4A733ED7"/>
    <w:rsid w:val="4BCF67B4"/>
    <w:rsid w:val="4DBD3C41"/>
    <w:rsid w:val="4EEE5CB8"/>
    <w:rsid w:val="4F0C4EF1"/>
    <w:rsid w:val="53EBE07D"/>
    <w:rsid w:val="54EE7E46"/>
    <w:rsid w:val="57D2255E"/>
    <w:rsid w:val="58191601"/>
    <w:rsid w:val="594A030A"/>
    <w:rsid w:val="5B3D3BE1"/>
    <w:rsid w:val="5C59588E"/>
    <w:rsid w:val="5CFCF584"/>
    <w:rsid w:val="5D656739"/>
    <w:rsid w:val="5DF11C08"/>
    <w:rsid w:val="5F862B12"/>
    <w:rsid w:val="5F8E5FCD"/>
    <w:rsid w:val="5FA67EF9"/>
    <w:rsid w:val="5FE50AF9"/>
    <w:rsid w:val="5FF5AC02"/>
    <w:rsid w:val="607D015E"/>
    <w:rsid w:val="62AD3045"/>
    <w:rsid w:val="655E42D7"/>
    <w:rsid w:val="662E76C0"/>
    <w:rsid w:val="6679056C"/>
    <w:rsid w:val="67F36EF9"/>
    <w:rsid w:val="681347FC"/>
    <w:rsid w:val="6A257206"/>
    <w:rsid w:val="6AEA0E8A"/>
    <w:rsid w:val="6B0538D4"/>
    <w:rsid w:val="6C1F3891"/>
    <w:rsid w:val="6CDE13F5"/>
    <w:rsid w:val="6D1B03BD"/>
    <w:rsid w:val="6E637F30"/>
    <w:rsid w:val="6E655FF8"/>
    <w:rsid w:val="6F97055C"/>
    <w:rsid w:val="700E1B9B"/>
    <w:rsid w:val="706972C8"/>
    <w:rsid w:val="71B33232"/>
    <w:rsid w:val="749776FC"/>
    <w:rsid w:val="74A229B8"/>
    <w:rsid w:val="74B04270"/>
    <w:rsid w:val="7532762A"/>
    <w:rsid w:val="75EF175A"/>
    <w:rsid w:val="75F05D05"/>
    <w:rsid w:val="77EA4EC4"/>
    <w:rsid w:val="78D61E3F"/>
    <w:rsid w:val="7B994E7A"/>
    <w:rsid w:val="7C30365D"/>
    <w:rsid w:val="7E0D3362"/>
    <w:rsid w:val="7E113129"/>
    <w:rsid w:val="ACFDCF00"/>
    <w:rsid w:val="BC7F82B2"/>
    <w:rsid w:val="BF7F25BB"/>
    <w:rsid w:val="D7F487E2"/>
    <w:rsid w:val="DB5F8EA5"/>
    <w:rsid w:val="EFBDD54C"/>
    <w:rsid w:val="F7768228"/>
    <w:rsid w:val="FEDFD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name="toc 4"/>
    <w:lsdException w:qFormat="1" w:uiPriority="39" w:name="toc 5"/>
    <w:lsdException w:uiPriority="39" w:name="toc 6"/>
    <w:lsdException w:qFormat="1" w:uiPriority="39" w:name="toc 7"/>
    <w:lsdException w:uiPriority="39" w:name="toc 8"/>
    <w:lsdException w:qFormat="1"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99"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1"/>
      <w:lang w:val="en-US" w:eastAsia="zh-CN" w:bidi="ar-SA"/>
    </w:rPr>
  </w:style>
  <w:style w:type="paragraph" w:styleId="3">
    <w:name w:val="heading 1"/>
    <w:basedOn w:val="1"/>
    <w:next w:val="1"/>
    <w:link w:val="34"/>
    <w:qFormat/>
    <w:uiPriority w:val="9"/>
    <w:pPr>
      <w:keepNext/>
      <w:keepLines/>
      <w:widowControl/>
      <w:numPr>
        <w:ilvl w:val="0"/>
        <w:numId w:val="1"/>
      </w:numPr>
      <w:spacing w:before="340" w:after="330" w:line="578" w:lineRule="auto"/>
      <w:jc w:val="left"/>
      <w:outlineLvl w:val="0"/>
    </w:pPr>
    <w:rPr>
      <w:rFonts w:ascii="宋体" w:hAnsi="宋体" w:eastAsia="宋体" w:cs="宋体"/>
      <w:b/>
      <w:bCs/>
      <w:kern w:val="44"/>
      <w:sz w:val="44"/>
      <w:szCs w:val="44"/>
    </w:rPr>
  </w:style>
  <w:style w:type="paragraph" w:styleId="4">
    <w:name w:val="heading 2"/>
    <w:basedOn w:val="1"/>
    <w:next w:val="1"/>
    <w:link w:val="35"/>
    <w:qFormat/>
    <w:uiPriority w:val="9"/>
    <w:pPr>
      <w:keepNext/>
      <w:keepLines/>
      <w:widowControl/>
      <w:numPr>
        <w:ilvl w:val="1"/>
        <w:numId w:val="1"/>
      </w:numPr>
      <w:spacing w:before="260" w:after="260" w:line="416" w:lineRule="auto"/>
      <w:jc w:val="left"/>
      <w:outlineLvl w:val="1"/>
    </w:pPr>
    <w:rPr>
      <w:rFonts w:ascii="等线 Light" w:hAnsi="等线 Light" w:eastAsia="等线 Light" w:cs="宋体"/>
      <w:b/>
      <w:bCs/>
      <w:kern w:val="0"/>
      <w:sz w:val="32"/>
      <w:szCs w:val="32"/>
    </w:rPr>
  </w:style>
  <w:style w:type="paragraph" w:styleId="5">
    <w:name w:val="heading 3"/>
    <w:basedOn w:val="1"/>
    <w:next w:val="1"/>
    <w:link w:val="36"/>
    <w:qFormat/>
    <w:uiPriority w:val="9"/>
    <w:pPr>
      <w:keepNext/>
      <w:keepLines/>
      <w:widowControl/>
      <w:numPr>
        <w:ilvl w:val="2"/>
        <w:numId w:val="1"/>
      </w:numPr>
      <w:spacing w:before="260" w:after="260" w:line="416" w:lineRule="auto"/>
      <w:jc w:val="left"/>
      <w:outlineLvl w:val="2"/>
    </w:pPr>
    <w:rPr>
      <w:rFonts w:ascii="宋体" w:hAnsi="宋体" w:eastAsia="宋体" w:cs="宋体"/>
      <w:b/>
      <w:bCs/>
      <w:kern w:val="0"/>
      <w:sz w:val="24"/>
      <w:szCs w:val="32"/>
    </w:rPr>
  </w:style>
  <w:style w:type="paragraph" w:styleId="6">
    <w:name w:val="heading 4"/>
    <w:basedOn w:val="1"/>
    <w:next w:val="1"/>
    <w:link w:val="37"/>
    <w:qFormat/>
    <w:uiPriority w:val="9"/>
    <w:pPr>
      <w:keepNext/>
      <w:keepLines/>
      <w:widowControl/>
      <w:numPr>
        <w:ilvl w:val="3"/>
        <w:numId w:val="1"/>
      </w:numPr>
      <w:spacing w:before="280" w:after="290" w:line="376" w:lineRule="auto"/>
      <w:jc w:val="left"/>
      <w:outlineLvl w:val="3"/>
    </w:pPr>
    <w:rPr>
      <w:rFonts w:ascii="等线 Light" w:hAnsi="等线 Light" w:eastAsia="等线 Light" w:cs="宋体"/>
      <w:b/>
      <w:bCs/>
      <w:kern w:val="0"/>
      <w:sz w:val="28"/>
      <w:szCs w:val="28"/>
    </w:rPr>
  </w:style>
  <w:style w:type="paragraph" w:styleId="7">
    <w:name w:val="heading 5"/>
    <w:basedOn w:val="1"/>
    <w:next w:val="1"/>
    <w:link w:val="38"/>
    <w:qFormat/>
    <w:uiPriority w:val="9"/>
    <w:pPr>
      <w:keepNext/>
      <w:keepLines/>
      <w:widowControl/>
      <w:numPr>
        <w:ilvl w:val="4"/>
        <w:numId w:val="1"/>
      </w:numPr>
      <w:spacing w:before="280" w:after="290" w:line="376" w:lineRule="auto"/>
      <w:jc w:val="left"/>
      <w:outlineLvl w:val="4"/>
    </w:pPr>
    <w:rPr>
      <w:rFonts w:ascii="宋体" w:hAnsi="宋体" w:eastAsia="宋体" w:cs="宋体"/>
      <w:b/>
      <w:bCs/>
      <w:kern w:val="0"/>
      <w:sz w:val="28"/>
      <w:szCs w:val="28"/>
    </w:rPr>
  </w:style>
  <w:style w:type="paragraph" w:styleId="8">
    <w:name w:val="heading 6"/>
    <w:basedOn w:val="1"/>
    <w:next w:val="1"/>
    <w:link w:val="39"/>
    <w:qFormat/>
    <w:uiPriority w:val="9"/>
    <w:pPr>
      <w:keepNext/>
      <w:keepLines/>
      <w:widowControl/>
      <w:numPr>
        <w:ilvl w:val="5"/>
        <w:numId w:val="1"/>
      </w:numPr>
      <w:spacing w:before="240" w:after="64" w:line="320" w:lineRule="auto"/>
      <w:jc w:val="left"/>
      <w:outlineLvl w:val="5"/>
    </w:pPr>
    <w:rPr>
      <w:rFonts w:ascii="等线 Light" w:hAnsi="等线 Light" w:eastAsia="等线 Light" w:cs="宋体"/>
      <w:b/>
      <w:bCs/>
      <w:kern w:val="0"/>
      <w:sz w:val="24"/>
      <w:szCs w:val="24"/>
    </w:rPr>
  </w:style>
  <w:style w:type="paragraph" w:styleId="9">
    <w:name w:val="heading 7"/>
    <w:basedOn w:val="1"/>
    <w:next w:val="1"/>
    <w:link w:val="40"/>
    <w:qFormat/>
    <w:uiPriority w:val="9"/>
    <w:pPr>
      <w:keepNext/>
      <w:keepLines/>
      <w:widowControl/>
      <w:numPr>
        <w:ilvl w:val="6"/>
        <w:numId w:val="1"/>
      </w:numPr>
      <w:spacing w:before="240" w:after="64" w:line="320" w:lineRule="auto"/>
      <w:jc w:val="left"/>
      <w:outlineLvl w:val="6"/>
    </w:pPr>
    <w:rPr>
      <w:rFonts w:ascii="宋体" w:hAnsi="宋体" w:eastAsia="宋体" w:cs="宋体"/>
      <w:b/>
      <w:bCs/>
      <w:kern w:val="0"/>
      <w:sz w:val="24"/>
      <w:szCs w:val="24"/>
    </w:rPr>
  </w:style>
  <w:style w:type="paragraph" w:styleId="10">
    <w:name w:val="heading 8"/>
    <w:basedOn w:val="1"/>
    <w:next w:val="1"/>
    <w:link w:val="41"/>
    <w:qFormat/>
    <w:uiPriority w:val="9"/>
    <w:pPr>
      <w:keepNext/>
      <w:keepLines/>
      <w:widowControl/>
      <w:numPr>
        <w:ilvl w:val="7"/>
        <w:numId w:val="1"/>
      </w:numPr>
      <w:spacing w:before="240" w:after="64" w:line="320" w:lineRule="auto"/>
      <w:jc w:val="left"/>
      <w:outlineLvl w:val="7"/>
    </w:pPr>
    <w:rPr>
      <w:rFonts w:ascii="等线 Light" w:hAnsi="等线 Light" w:eastAsia="等线 Light" w:cs="宋体"/>
      <w:kern w:val="0"/>
      <w:sz w:val="24"/>
      <w:szCs w:val="24"/>
    </w:rPr>
  </w:style>
  <w:style w:type="paragraph" w:styleId="11">
    <w:name w:val="heading 9"/>
    <w:basedOn w:val="1"/>
    <w:next w:val="1"/>
    <w:link w:val="42"/>
    <w:qFormat/>
    <w:uiPriority w:val="9"/>
    <w:pPr>
      <w:keepNext/>
      <w:keepLines/>
      <w:widowControl/>
      <w:numPr>
        <w:ilvl w:val="8"/>
        <w:numId w:val="1"/>
      </w:numPr>
      <w:spacing w:before="240" w:after="64" w:line="320" w:lineRule="auto"/>
      <w:jc w:val="left"/>
      <w:outlineLvl w:val="8"/>
    </w:pPr>
    <w:rPr>
      <w:rFonts w:ascii="等线 Light" w:hAnsi="等线 Light" w:eastAsia="等线 Light" w:cs="宋体"/>
      <w:kern w:val="0"/>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Calibri" w:hAnsi="Calibri"/>
    </w:rPr>
  </w:style>
  <w:style w:type="paragraph" w:styleId="12">
    <w:name w:val="caption"/>
    <w:basedOn w:val="1"/>
    <w:next w:val="1"/>
    <w:unhideWhenUsed/>
    <w:qFormat/>
    <w:uiPriority w:val="99"/>
    <w:rPr>
      <w:rFonts w:eastAsia="黑体" w:asciiTheme="majorHAnsi" w:hAnsiTheme="majorHAnsi" w:cstheme="majorBidi"/>
      <w:sz w:val="20"/>
      <w:szCs w:val="20"/>
    </w:rPr>
  </w:style>
  <w:style w:type="paragraph" w:styleId="13">
    <w:name w:val="Document Map"/>
    <w:basedOn w:val="1"/>
    <w:link w:val="58"/>
    <w:semiHidden/>
    <w:unhideWhenUsed/>
    <w:qFormat/>
    <w:uiPriority w:val="99"/>
    <w:rPr>
      <w:rFonts w:ascii="宋体" w:eastAsia="宋体"/>
      <w:sz w:val="18"/>
      <w:szCs w:val="18"/>
    </w:rPr>
  </w:style>
  <w:style w:type="paragraph" w:styleId="14">
    <w:name w:val="annotation text"/>
    <w:basedOn w:val="1"/>
    <w:link w:val="51"/>
    <w:unhideWhenUsed/>
    <w:qFormat/>
    <w:uiPriority w:val="99"/>
    <w:pPr>
      <w:widowControl/>
      <w:jc w:val="left"/>
    </w:pPr>
    <w:rPr>
      <w:rFonts w:ascii="宋体" w:hAnsi="宋体" w:eastAsia="宋体" w:cs="宋体"/>
      <w:kern w:val="0"/>
      <w:sz w:val="24"/>
      <w:szCs w:val="24"/>
    </w:rPr>
  </w:style>
  <w:style w:type="paragraph" w:styleId="15">
    <w:name w:val="Body Text"/>
    <w:basedOn w:val="1"/>
    <w:link w:val="43"/>
    <w:qFormat/>
    <w:uiPriority w:val="99"/>
    <w:pPr>
      <w:widowControl/>
      <w:spacing w:line="288" w:lineRule="auto"/>
      <w:jc w:val="center"/>
    </w:pPr>
    <w:rPr>
      <w:rFonts w:ascii="Times New Roman" w:hAnsi="Times New Roman" w:eastAsia="黑体"/>
      <w:b/>
      <w:sz w:val="52"/>
      <w:szCs w:val="20"/>
    </w:rPr>
  </w:style>
  <w:style w:type="paragraph" w:styleId="16">
    <w:name w:val="Date"/>
    <w:basedOn w:val="1"/>
    <w:next w:val="1"/>
    <w:link w:val="52"/>
    <w:unhideWhenUsed/>
    <w:qFormat/>
    <w:uiPriority w:val="99"/>
    <w:pPr>
      <w:widowControl/>
      <w:ind w:left="100" w:leftChars="2500"/>
      <w:jc w:val="left"/>
    </w:pPr>
    <w:rPr>
      <w:rFonts w:ascii="宋体" w:hAnsi="宋体" w:eastAsia="宋体" w:cs="宋体"/>
      <w:kern w:val="0"/>
      <w:sz w:val="24"/>
      <w:szCs w:val="24"/>
    </w:rPr>
  </w:style>
  <w:style w:type="paragraph" w:styleId="17">
    <w:name w:val="Balloon Text"/>
    <w:basedOn w:val="1"/>
    <w:link w:val="53"/>
    <w:unhideWhenUsed/>
    <w:qFormat/>
    <w:uiPriority w:val="99"/>
    <w:pPr>
      <w:widowControl/>
      <w:jc w:val="left"/>
    </w:pPr>
    <w:rPr>
      <w:rFonts w:ascii="宋体" w:hAnsi="宋体" w:eastAsia="宋体" w:cs="宋体"/>
      <w:kern w:val="0"/>
      <w:sz w:val="18"/>
      <w:szCs w:val="18"/>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footnote text"/>
    <w:basedOn w:val="1"/>
    <w:link w:val="46"/>
    <w:unhideWhenUsed/>
    <w:qFormat/>
    <w:uiPriority w:val="99"/>
    <w:pPr>
      <w:widowControl/>
      <w:snapToGrid w:val="0"/>
      <w:jc w:val="left"/>
    </w:pPr>
    <w:rPr>
      <w:rFonts w:ascii="宋体" w:hAnsi="宋体" w:eastAsia="宋体" w:cs="宋体"/>
      <w:kern w:val="0"/>
      <w:sz w:val="18"/>
      <w:szCs w:val="18"/>
    </w:rPr>
  </w:style>
  <w:style w:type="paragraph" w:styleId="22">
    <w:name w:val="table of figures"/>
    <w:basedOn w:val="1"/>
    <w:next w:val="1"/>
    <w:unhideWhenUsed/>
    <w:qFormat/>
    <w:uiPriority w:val="99"/>
    <w:pPr>
      <w:ind w:left="200" w:leftChars="200" w:hanging="200" w:hangingChars="200"/>
    </w:pPr>
  </w:style>
  <w:style w:type="paragraph" w:styleId="23">
    <w:name w:val="toc 2"/>
    <w:basedOn w:val="1"/>
    <w:next w:val="1"/>
    <w:unhideWhenUsed/>
    <w:qFormat/>
    <w:uiPriority w:val="39"/>
    <w:pPr>
      <w:ind w:left="420" w:leftChars="200"/>
    </w:pPr>
  </w:style>
  <w:style w:type="paragraph" w:styleId="24">
    <w:name w:val="Normal (Web)"/>
    <w:basedOn w:val="1"/>
    <w:unhideWhenUsed/>
    <w:qFormat/>
    <w:uiPriority w:val="99"/>
    <w:pPr>
      <w:widowControl/>
      <w:jc w:val="left"/>
    </w:pPr>
    <w:rPr>
      <w:rFonts w:ascii="宋体" w:hAnsi="宋体" w:eastAsia="宋体" w:cs="宋体"/>
      <w:kern w:val="0"/>
      <w:sz w:val="24"/>
      <w:szCs w:val="24"/>
    </w:rPr>
  </w:style>
  <w:style w:type="paragraph" w:styleId="25">
    <w:name w:val="annotation subject"/>
    <w:basedOn w:val="14"/>
    <w:next w:val="14"/>
    <w:link w:val="54"/>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unhideWhenUsed/>
    <w:qFormat/>
    <w:uiPriority w:val="99"/>
    <w:rPr>
      <w:color w:val="0563C1" w:themeColor="hyperlink"/>
      <w:u w:val="single"/>
    </w:rPr>
  </w:style>
  <w:style w:type="character" w:styleId="30">
    <w:name w:val="annotation reference"/>
    <w:basedOn w:val="28"/>
    <w:semiHidden/>
    <w:unhideWhenUsed/>
    <w:qFormat/>
    <w:uiPriority w:val="99"/>
    <w:rPr>
      <w:sz w:val="21"/>
      <w:szCs w:val="21"/>
    </w:rPr>
  </w:style>
  <w:style w:type="character" w:styleId="31">
    <w:name w:val="footnote reference"/>
    <w:link w:val="32"/>
    <w:unhideWhenUsed/>
    <w:qFormat/>
    <w:uiPriority w:val="99"/>
    <w:rPr>
      <w:vertAlign w:val="superscript"/>
    </w:rPr>
  </w:style>
  <w:style w:type="paragraph" w:customStyle="1" w:styleId="32">
    <w:name w:val="FNRefe Char Char"/>
    <w:basedOn w:val="1"/>
    <w:link w:val="31"/>
    <w:qFormat/>
    <w:uiPriority w:val="0"/>
    <w:pPr>
      <w:widowControl/>
      <w:spacing w:line="240" w:lineRule="exact"/>
      <w:jc w:val="left"/>
    </w:pPr>
    <w:rPr>
      <w:vertAlign w:val="superscript"/>
    </w:rPr>
  </w:style>
  <w:style w:type="paragraph" w:customStyle="1" w:styleId="33">
    <w:name w:val="列出段落1"/>
    <w:basedOn w:val="1"/>
    <w:qFormat/>
    <w:uiPriority w:val="34"/>
    <w:pPr>
      <w:ind w:firstLine="420" w:firstLineChars="200"/>
    </w:pPr>
  </w:style>
  <w:style w:type="character" w:customStyle="1" w:styleId="34">
    <w:name w:val="Heading 1 Char"/>
    <w:basedOn w:val="28"/>
    <w:link w:val="3"/>
    <w:qFormat/>
    <w:uiPriority w:val="9"/>
    <w:rPr>
      <w:rFonts w:ascii="宋体" w:hAnsi="宋体" w:cs="宋体"/>
      <w:b/>
      <w:bCs/>
      <w:kern w:val="44"/>
      <w:sz w:val="44"/>
      <w:szCs w:val="44"/>
    </w:rPr>
  </w:style>
  <w:style w:type="character" w:customStyle="1" w:styleId="35">
    <w:name w:val="Heading 2 Char"/>
    <w:basedOn w:val="28"/>
    <w:link w:val="4"/>
    <w:qFormat/>
    <w:uiPriority w:val="9"/>
    <w:rPr>
      <w:rFonts w:ascii="等线 Light" w:hAnsi="等线 Light" w:eastAsia="等线 Light" w:cs="宋体"/>
      <w:b/>
      <w:bCs/>
      <w:sz w:val="32"/>
      <w:szCs w:val="32"/>
    </w:rPr>
  </w:style>
  <w:style w:type="character" w:customStyle="1" w:styleId="36">
    <w:name w:val="Heading 3 Char"/>
    <w:basedOn w:val="28"/>
    <w:link w:val="5"/>
    <w:qFormat/>
    <w:uiPriority w:val="9"/>
    <w:rPr>
      <w:rFonts w:ascii="宋体" w:hAnsi="宋体" w:eastAsia="宋体" w:cs="宋体"/>
      <w:b/>
      <w:bCs/>
      <w:kern w:val="0"/>
      <w:sz w:val="24"/>
      <w:szCs w:val="32"/>
    </w:rPr>
  </w:style>
  <w:style w:type="character" w:customStyle="1" w:styleId="37">
    <w:name w:val="Heading 4 Char"/>
    <w:basedOn w:val="28"/>
    <w:link w:val="6"/>
    <w:qFormat/>
    <w:uiPriority w:val="9"/>
    <w:rPr>
      <w:rFonts w:ascii="等线 Light" w:hAnsi="等线 Light" w:eastAsia="等线 Light" w:cs="宋体"/>
      <w:b/>
      <w:bCs/>
      <w:kern w:val="0"/>
      <w:sz w:val="28"/>
      <w:szCs w:val="28"/>
    </w:rPr>
  </w:style>
  <w:style w:type="character" w:customStyle="1" w:styleId="38">
    <w:name w:val="Heading 5 Char"/>
    <w:basedOn w:val="28"/>
    <w:link w:val="7"/>
    <w:qFormat/>
    <w:uiPriority w:val="9"/>
    <w:rPr>
      <w:rFonts w:ascii="宋体" w:hAnsi="宋体" w:eastAsia="宋体" w:cs="宋体"/>
      <w:b/>
      <w:bCs/>
      <w:kern w:val="0"/>
      <w:sz w:val="28"/>
      <w:szCs w:val="28"/>
    </w:rPr>
  </w:style>
  <w:style w:type="character" w:customStyle="1" w:styleId="39">
    <w:name w:val="Heading 6 Char"/>
    <w:basedOn w:val="28"/>
    <w:link w:val="8"/>
    <w:qFormat/>
    <w:uiPriority w:val="9"/>
    <w:rPr>
      <w:rFonts w:ascii="等线 Light" w:hAnsi="等线 Light" w:eastAsia="等线 Light" w:cs="宋体"/>
      <w:b/>
      <w:bCs/>
      <w:kern w:val="0"/>
      <w:sz w:val="24"/>
      <w:szCs w:val="24"/>
    </w:rPr>
  </w:style>
  <w:style w:type="character" w:customStyle="1" w:styleId="40">
    <w:name w:val="Heading 7 Char"/>
    <w:basedOn w:val="28"/>
    <w:link w:val="9"/>
    <w:qFormat/>
    <w:uiPriority w:val="9"/>
    <w:rPr>
      <w:rFonts w:ascii="宋体" w:hAnsi="宋体" w:eastAsia="宋体" w:cs="宋体"/>
      <w:b/>
      <w:bCs/>
      <w:kern w:val="0"/>
      <w:sz w:val="24"/>
      <w:szCs w:val="24"/>
    </w:rPr>
  </w:style>
  <w:style w:type="character" w:customStyle="1" w:styleId="41">
    <w:name w:val="Heading 8 Char"/>
    <w:basedOn w:val="28"/>
    <w:link w:val="10"/>
    <w:qFormat/>
    <w:uiPriority w:val="9"/>
    <w:rPr>
      <w:rFonts w:ascii="等线 Light" w:hAnsi="等线 Light" w:eastAsia="等线 Light" w:cs="宋体"/>
      <w:kern w:val="0"/>
      <w:sz w:val="24"/>
      <w:szCs w:val="24"/>
    </w:rPr>
  </w:style>
  <w:style w:type="character" w:customStyle="1" w:styleId="42">
    <w:name w:val="Heading 9 Char"/>
    <w:basedOn w:val="28"/>
    <w:link w:val="11"/>
    <w:qFormat/>
    <w:uiPriority w:val="9"/>
    <w:rPr>
      <w:rFonts w:ascii="等线 Light" w:hAnsi="等线 Light" w:eastAsia="等线 Light" w:cs="宋体"/>
      <w:kern w:val="0"/>
      <w:sz w:val="24"/>
      <w:szCs w:val="21"/>
    </w:rPr>
  </w:style>
  <w:style w:type="character" w:customStyle="1" w:styleId="43">
    <w:name w:val="Body Text Char"/>
    <w:link w:val="15"/>
    <w:qFormat/>
    <w:uiPriority w:val="99"/>
    <w:rPr>
      <w:rFonts w:ascii="Times New Roman" w:hAnsi="Times New Roman" w:eastAsia="黑体" w:cs="Times New Roman"/>
      <w:b/>
      <w:sz w:val="52"/>
      <w:szCs w:val="20"/>
    </w:rPr>
  </w:style>
  <w:style w:type="character" w:customStyle="1" w:styleId="44">
    <w:name w:val="Footer Char"/>
    <w:basedOn w:val="28"/>
    <w:link w:val="18"/>
    <w:qFormat/>
    <w:uiPriority w:val="99"/>
    <w:rPr>
      <w:sz w:val="18"/>
      <w:szCs w:val="18"/>
    </w:rPr>
  </w:style>
  <w:style w:type="character" w:customStyle="1" w:styleId="45">
    <w:name w:val="Header Char"/>
    <w:basedOn w:val="28"/>
    <w:link w:val="19"/>
    <w:qFormat/>
    <w:uiPriority w:val="99"/>
    <w:rPr>
      <w:sz w:val="18"/>
      <w:szCs w:val="18"/>
    </w:rPr>
  </w:style>
  <w:style w:type="character" w:customStyle="1" w:styleId="46">
    <w:name w:val="Footnote Text Char"/>
    <w:basedOn w:val="28"/>
    <w:link w:val="21"/>
    <w:qFormat/>
    <w:uiPriority w:val="99"/>
    <w:rPr>
      <w:rFonts w:ascii="宋体" w:hAnsi="宋体" w:eastAsia="宋体" w:cs="宋体"/>
      <w:kern w:val="0"/>
      <w:sz w:val="18"/>
      <w:szCs w:val="18"/>
    </w:rPr>
  </w:style>
  <w:style w:type="character" w:customStyle="1" w:styleId="47">
    <w:name w:val="正文文本 字符"/>
    <w:basedOn w:val="28"/>
    <w:semiHidden/>
    <w:qFormat/>
    <w:uiPriority w:val="99"/>
  </w:style>
  <w:style w:type="paragraph" w:styleId="48">
    <w:name w:val="List Paragraph"/>
    <w:basedOn w:val="1"/>
    <w:link w:val="49"/>
    <w:qFormat/>
    <w:uiPriority w:val="99"/>
    <w:pPr>
      <w:widowControl/>
      <w:ind w:firstLine="420" w:firstLineChars="200"/>
      <w:jc w:val="left"/>
    </w:pPr>
    <w:rPr>
      <w:rFonts w:ascii="宋体" w:hAnsi="宋体" w:eastAsia="宋体" w:cs="宋体"/>
      <w:kern w:val="0"/>
      <w:sz w:val="24"/>
      <w:szCs w:val="24"/>
    </w:rPr>
  </w:style>
  <w:style w:type="character" w:customStyle="1" w:styleId="49">
    <w:name w:val="List Paragraph Char"/>
    <w:link w:val="48"/>
    <w:qFormat/>
    <w:uiPriority w:val="99"/>
    <w:rPr>
      <w:rFonts w:ascii="宋体" w:hAnsi="宋体" w:eastAsia="宋体" w:cs="宋体"/>
      <w:kern w:val="0"/>
      <w:sz w:val="24"/>
      <w:szCs w:val="24"/>
    </w:rPr>
  </w:style>
  <w:style w:type="paragraph" w:customStyle="1" w:styleId="50">
    <w:name w:val="TOC 标题1"/>
    <w:basedOn w:val="3"/>
    <w:next w:val="1"/>
    <w:unhideWhenUsed/>
    <w:qFormat/>
    <w:uiPriority w:val="39"/>
    <w:pPr>
      <w:numPr>
        <w:numId w:val="0"/>
      </w:numPr>
      <w:spacing w:before="240" w:after="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51">
    <w:name w:val="Comment Text Char"/>
    <w:basedOn w:val="28"/>
    <w:link w:val="14"/>
    <w:qFormat/>
    <w:uiPriority w:val="99"/>
    <w:rPr>
      <w:rFonts w:ascii="宋体" w:hAnsi="宋体" w:eastAsia="宋体" w:cs="宋体"/>
      <w:sz w:val="24"/>
      <w:szCs w:val="24"/>
    </w:rPr>
  </w:style>
  <w:style w:type="character" w:customStyle="1" w:styleId="52">
    <w:name w:val="Date Char"/>
    <w:basedOn w:val="28"/>
    <w:link w:val="16"/>
    <w:qFormat/>
    <w:uiPriority w:val="99"/>
    <w:rPr>
      <w:rFonts w:ascii="宋体" w:hAnsi="宋体" w:eastAsia="宋体" w:cs="宋体"/>
      <w:sz w:val="24"/>
      <w:szCs w:val="24"/>
    </w:rPr>
  </w:style>
  <w:style w:type="character" w:customStyle="1" w:styleId="53">
    <w:name w:val="Balloon Text Char"/>
    <w:basedOn w:val="28"/>
    <w:link w:val="17"/>
    <w:qFormat/>
    <w:uiPriority w:val="99"/>
    <w:rPr>
      <w:rFonts w:ascii="宋体" w:hAnsi="宋体" w:eastAsia="宋体" w:cs="宋体"/>
      <w:sz w:val="18"/>
      <w:szCs w:val="18"/>
    </w:rPr>
  </w:style>
  <w:style w:type="character" w:customStyle="1" w:styleId="54">
    <w:name w:val="Comment Subject Char"/>
    <w:basedOn w:val="51"/>
    <w:link w:val="25"/>
    <w:qFormat/>
    <w:uiPriority w:val="99"/>
    <w:rPr>
      <w:rFonts w:ascii="宋体" w:hAnsi="宋体" w:eastAsia="宋体" w:cs="宋体"/>
      <w:b/>
      <w:bCs/>
      <w:sz w:val="24"/>
      <w:szCs w:val="24"/>
    </w:rPr>
  </w:style>
  <w:style w:type="paragraph" w:customStyle="1" w:styleId="55">
    <w:name w:val="正文缩进1"/>
    <w:basedOn w:val="1"/>
    <w:link w:val="56"/>
    <w:qFormat/>
    <w:uiPriority w:val="0"/>
    <w:pPr>
      <w:widowControl/>
      <w:ind w:firstLine="420" w:firstLineChars="200"/>
      <w:jc w:val="left"/>
    </w:pPr>
    <w:rPr>
      <w:rFonts w:ascii="宋体" w:hAnsi="宋体" w:eastAsia="宋体" w:cs="宋体"/>
      <w:kern w:val="0"/>
      <w:sz w:val="20"/>
      <w:szCs w:val="24"/>
    </w:rPr>
  </w:style>
  <w:style w:type="character" w:customStyle="1" w:styleId="56">
    <w:name w:val="正文缩进 Char"/>
    <w:link w:val="55"/>
    <w:qFormat/>
    <w:uiPriority w:val="0"/>
    <w:rPr>
      <w:rFonts w:ascii="宋体" w:hAnsi="宋体" w:eastAsia="宋体" w:cs="宋体"/>
      <w:szCs w:val="24"/>
    </w:rPr>
  </w:style>
  <w:style w:type="paragraph" w:customStyle="1" w:styleId="57">
    <w:name w:val="TOC 标题2"/>
    <w:basedOn w:val="3"/>
    <w:next w:val="1"/>
    <w:unhideWhenUsed/>
    <w:qFormat/>
    <w:uiPriority w:val="39"/>
    <w:pPr>
      <w:numPr>
        <w:numId w:val="0"/>
      </w:numPr>
      <w:spacing w:before="240" w:after="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58">
    <w:name w:val="Document Map Char"/>
    <w:basedOn w:val="28"/>
    <w:link w:val="13"/>
    <w:semiHidden/>
    <w:qFormat/>
    <w:uiPriority w:val="99"/>
    <w:rPr>
      <w:rFonts w:ascii="宋体" w:hAnsi="等线"/>
      <w:kern w:val="2"/>
      <w:sz w:val="18"/>
      <w:szCs w:val="18"/>
    </w:rPr>
  </w:style>
  <w:style w:type="paragraph" w:customStyle="1" w:styleId="59">
    <w:name w:val="Revision"/>
    <w:hidden/>
    <w:semiHidden/>
    <w:qFormat/>
    <w:uiPriority w:val="99"/>
    <w:pPr>
      <w:spacing w:after="0" w:line="240" w:lineRule="auto"/>
    </w:pPr>
    <w:rPr>
      <w:rFonts w:ascii="等线" w:hAnsi="等线" w:eastAsia="等线"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1760</Words>
  <Characters>10032</Characters>
  <Lines>83</Lines>
  <Paragraphs>23</Paragraphs>
  <TotalTime>0</TotalTime>
  <ScaleCrop>false</ScaleCrop>
  <LinksUpToDate>false</LinksUpToDate>
  <CharactersWithSpaces>11769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2023-03-31T18:37:00Z</dcterms:created>
  <dc:creator>孙 舒然</dc:creator>
  <cp:lastModifiedBy>cahec</cp:lastModifiedBy>
  <dcterms:modified xsi:type="dcterms:W3CDTF">2023-05-30T09:04:17Z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A031CAFECFF34CCDB21273620A80BD07</vt:lpwstr>
  </property>
</Properties>
</file>