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60904" w14:textId="77777777" w:rsidR="000538CC" w:rsidRPr="00E94048" w:rsidRDefault="000538CC" w:rsidP="000538CC">
      <w:pPr>
        <w:pBdr>
          <w:bottom w:val="single" w:sz="6" w:space="6" w:color="auto"/>
        </w:pBdr>
        <w:spacing w:before="120" w:after="240"/>
        <w:jc w:val="center"/>
        <w:outlineLvl w:val="0"/>
        <w:rPr>
          <w:rFonts w:asciiTheme="minorHAnsi" w:hAnsiTheme="minorHAnsi" w:cstheme="minorHAnsi"/>
          <w:bCs/>
          <w:sz w:val="24"/>
          <w:szCs w:val="24"/>
        </w:rPr>
      </w:pPr>
      <w:r w:rsidRPr="00E94048">
        <w:rPr>
          <w:rFonts w:asciiTheme="minorHAnsi" w:hAnsiTheme="minorHAnsi" w:cstheme="minorHAnsi"/>
          <w:b/>
          <w:bCs/>
          <w:i/>
          <w:sz w:val="24"/>
          <w:szCs w:val="24"/>
        </w:rPr>
        <w:t xml:space="preserve">TERRESTRIAL MANUAL </w:t>
      </w:r>
      <w:r w:rsidRPr="00E94048">
        <w:rPr>
          <w:rFonts w:asciiTheme="minorHAnsi" w:hAnsiTheme="minorHAnsi" w:cstheme="minorHAnsi"/>
          <w:b/>
          <w:bCs/>
          <w:sz w:val="24"/>
          <w:szCs w:val="24"/>
        </w:rPr>
        <w:t>REVISION: ADVICE FOR MEMBER COUNTRY COMMENTS</w:t>
      </w:r>
    </w:p>
    <w:p w14:paraId="58F48591" w14:textId="3B08340C" w:rsidR="000538CC" w:rsidRPr="000538CC" w:rsidRDefault="000538CC" w:rsidP="000538CC">
      <w:pPr>
        <w:spacing w:after="240" w:line="240" w:lineRule="auto"/>
        <w:rPr>
          <w:rFonts w:asciiTheme="minorHAnsi" w:hAnsiTheme="minorHAnsi" w:cstheme="minorHAnsi"/>
          <w:lang w:val="en-IE"/>
        </w:rPr>
      </w:pPr>
      <w:r w:rsidRPr="000538CC">
        <w:rPr>
          <w:rFonts w:asciiTheme="minorHAnsi" w:hAnsiTheme="minorHAnsi" w:cstheme="minorHAnsi"/>
        </w:rPr>
        <w:t xml:space="preserve">Chapter Number and Title: Chapter </w:t>
      </w:r>
      <w:r w:rsidRPr="000538CC">
        <w:rPr>
          <w:rFonts w:asciiTheme="minorHAnsi" w:hAnsiTheme="minorHAnsi" w:cstheme="minorHAnsi"/>
          <w:iCs/>
        </w:rPr>
        <w:t xml:space="preserve">3.6.11 Glanders and </w:t>
      </w:r>
      <w:r w:rsidRPr="000538CC">
        <w:rPr>
          <w:rFonts w:asciiTheme="minorHAnsi" w:hAnsiTheme="minorHAnsi" w:cstheme="minorHAnsi"/>
          <w:lang w:val="en-IE"/>
        </w:rPr>
        <w:t>melioidosis</w:t>
      </w:r>
    </w:p>
    <w:p w14:paraId="37B4DE79" w14:textId="77777777" w:rsidR="000538CC" w:rsidRPr="00E94048" w:rsidRDefault="000538CC" w:rsidP="000538CC">
      <w:pPr>
        <w:spacing w:after="240" w:line="240" w:lineRule="auto"/>
        <w:rPr>
          <w:rFonts w:asciiTheme="minorHAnsi" w:hAnsiTheme="minorHAnsi" w:cstheme="minorHAnsi"/>
        </w:rPr>
      </w:pPr>
      <w:r w:rsidRPr="00E94048">
        <w:rPr>
          <w:rFonts w:asciiTheme="minorHAnsi" w:hAnsiTheme="minorHAnsi" w:cstheme="minorHAnsi"/>
        </w:rPr>
        <w:t>Country making the comments:</w:t>
      </w:r>
    </w:p>
    <w:p w14:paraId="30C796C8" w14:textId="77777777" w:rsidR="000538CC" w:rsidRPr="00E94048" w:rsidRDefault="000538CC" w:rsidP="000538CC">
      <w:pPr>
        <w:spacing w:after="240" w:line="240" w:lineRule="auto"/>
        <w:rPr>
          <w:rFonts w:asciiTheme="minorHAnsi" w:hAnsiTheme="minorHAnsi" w:cstheme="minorHAnsi"/>
        </w:rPr>
      </w:pPr>
      <w:r w:rsidRPr="00E94048">
        <w:rPr>
          <w:rFonts w:asciiTheme="minorHAnsi" w:hAnsiTheme="minorHAnsi" w:cstheme="minorHAnsi"/>
        </w:rPr>
        <w:t>Date:</w:t>
      </w:r>
    </w:p>
    <w:p w14:paraId="73F053CA" w14:textId="77777777" w:rsidR="000538CC" w:rsidRPr="00E94048" w:rsidRDefault="000538CC" w:rsidP="000538CC">
      <w:pPr>
        <w:spacing w:after="240" w:line="240" w:lineRule="auto"/>
        <w:rPr>
          <w:rFonts w:asciiTheme="minorHAnsi" w:hAnsiTheme="minorHAnsi" w:cstheme="minorHAnsi"/>
        </w:rPr>
      </w:pPr>
      <w:r w:rsidRPr="00E94048">
        <w:rPr>
          <w:rFonts w:asciiTheme="minorHAnsi" w:hAnsiTheme="minorHAnsi" w:cstheme="minorHAnsi"/>
        </w:rPr>
        <w:t>It would be appreciated if the following guidance is followed when making a reply:</w:t>
      </w:r>
    </w:p>
    <w:p w14:paraId="65CB641E" w14:textId="77777777" w:rsidR="000538CC" w:rsidRPr="00E94048" w:rsidRDefault="000538CC" w:rsidP="000538CC">
      <w:pPr>
        <w:spacing w:after="240" w:line="240" w:lineRule="auto"/>
        <w:ind w:left="425" w:hanging="425"/>
        <w:rPr>
          <w:rFonts w:asciiTheme="minorHAnsi" w:hAnsiTheme="minorHAnsi" w:cstheme="minorHAnsi"/>
        </w:rPr>
      </w:pPr>
      <w:r w:rsidRPr="00E94048">
        <w:rPr>
          <w:rFonts w:asciiTheme="minorHAnsi" w:hAnsiTheme="minorHAnsi" w:cstheme="minorHAnsi"/>
        </w:rPr>
        <w:t>1.</w:t>
      </w:r>
      <w:r w:rsidRPr="00E94048">
        <w:rPr>
          <w:rFonts w:asciiTheme="minorHAnsi" w:hAnsiTheme="minorHAnsi" w:cstheme="minorHAnsi"/>
        </w:rPr>
        <w:tab/>
        <w:t>Comments may be general or specific, but specific comments are more valuable. General comments should be such that some conclusion and action can be taken in response to them. For example, instead of stating “This test is no longer used in our laboratory”, indicate the reasons the test is no longer used and what test is used instead.</w:t>
      </w:r>
    </w:p>
    <w:p w14:paraId="46CCB6ED" w14:textId="77777777" w:rsidR="000538CC" w:rsidRPr="00E94048" w:rsidRDefault="000538CC" w:rsidP="000538CC">
      <w:pPr>
        <w:spacing w:after="240" w:line="240" w:lineRule="auto"/>
        <w:ind w:left="425" w:hanging="425"/>
        <w:rPr>
          <w:rFonts w:asciiTheme="minorHAnsi" w:hAnsiTheme="minorHAnsi" w:cstheme="minorHAnsi"/>
        </w:rPr>
      </w:pPr>
      <w:r w:rsidRPr="00E94048">
        <w:rPr>
          <w:rFonts w:asciiTheme="minorHAnsi" w:hAnsiTheme="minorHAnsi" w:cstheme="minorHAnsi"/>
        </w:rPr>
        <w:t>2.</w:t>
      </w:r>
      <w:r w:rsidRPr="00E94048">
        <w:rPr>
          <w:rFonts w:asciiTheme="minorHAnsi" w:hAnsiTheme="minorHAnsi" w:cstheme="minorHAnsi"/>
        </w:rPr>
        <w:tab/>
        <w:t>Specific comments should be identified by indicating the line number in the text, to facilitate the editorial process.</w:t>
      </w:r>
    </w:p>
    <w:p w14:paraId="36928EBF" w14:textId="77777777" w:rsidR="000538CC" w:rsidRPr="00E94048" w:rsidRDefault="000538CC" w:rsidP="000538CC">
      <w:pPr>
        <w:spacing w:after="240" w:line="240" w:lineRule="auto"/>
        <w:ind w:left="425" w:hanging="425"/>
        <w:rPr>
          <w:rFonts w:asciiTheme="minorHAnsi" w:hAnsiTheme="minorHAnsi" w:cstheme="minorHAnsi"/>
        </w:rPr>
      </w:pPr>
      <w:r w:rsidRPr="00E94048">
        <w:rPr>
          <w:rFonts w:asciiTheme="minorHAnsi" w:hAnsiTheme="minorHAnsi" w:cstheme="minorHAnsi"/>
        </w:rPr>
        <w:t>3.</w:t>
      </w:r>
      <w:r w:rsidRPr="00E94048">
        <w:rPr>
          <w:rFonts w:asciiTheme="minorHAnsi" w:hAnsiTheme="minorHAnsi" w:cstheme="minorHAnsi"/>
        </w:rPr>
        <w:tab/>
        <w:t xml:space="preserve">Highlighting typing or technical errors is welcome, but the correct word or figure should be indicated in its place. For example, instead of indicating simply “0.8 M is too high”, the preferred value should also be indicated. </w:t>
      </w:r>
    </w:p>
    <w:p w14:paraId="2F7AF766" w14:textId="77777777" w:rsidR="000538CC" w:rsidRPr="00E94048" w:rsidRDefault="000538CC" w:rsidP="000538CC">
      <w:pPr>
        <w:spacing w:after="240" w:line="240" w:lineRule="auto"/>
        <w:ind w:left="425" w:hanging="425"/>
        <w:rPr>
          <w:rFonts w:asciiTheme="minorHAnsi" w:hAnsiTheme="minorHAnsi" w:cstheme="minorHAnsi"/>
        </w:rPr>
      </w:pPr>
      <w:r w:rsidRPr="00E94048">
        <w:rPr>
          <w:rFonts w:asciiTheme="minorHAnsi" w:hAnsiTheme="minorHAnsi" w:cstheme="minorHAnsi"/>
        </w:rPr>
        <w:t>4.</w:t>
      </w:r>
      <w:r w:rsidRPr="00E94048">
        <w:rPr>
          <w:rFonts w:asciiTheme="minorHAnsi" w:hAnsiTheme="minorHAnsi" w:cstheme="minorHAnsi"/>
        </w:rPr>
        <w:tab/>
        <w:t xml:space="preserve">Bear in mind that the introductory chapters (Part 1 of the </w:t>
      </w:r>
      <w:r w:rsidRPr="00E94048">
        <w:rPr>
          <w:rFonts w:asciiTheme="minorHAnsi" w:hAnsiTheme="minorHAnsi" w:cstheme="minorHAnsi"/>
          <w:i/>
        </w:rPr>
        <w:t>Terrestrial Manual</w:t>
      </w:r>
      <w:r w:rsidRPr="00E94048">
        <w:rPr>
          <w:rFonts w:asciiTheme="minorHAnsi" w:hAnsiTheme="minorHAnsi" w:cstheme="minorHAnsi"/>
        </w:rPr>
        <w:t xml:space="preserve">) set general standards for the management of veterinary diagnostic laboratories and vaccine facilities and are not intended to be exhaustive, and indeed none of the chapters can give a completely comprehensive cover of the subject, otherwise the </w:t>
      </w:r>
      <w:r w:rsidRPr="00E94048">
        <w:rPr>
          <w:rFonts w:asciiTheme="minorHAnsi" w:hAnsiTheme="minorHAnsi" w:cstheme="minorHAnsi"/>
          <w:i/>
        </w:rPr>
        <w:t>Terrestrial Manual</w:t>
      </w:r>
      <w:r w:rsidRPr="00E94048">
        <w:rPr>
          <w:rFonts w:asciiTheme="minorHAnsi" w:hAnsiTheme="minorHAnsi" w:cstheme="minorHAnsi"/>
        </w:rPr>
        <w:t xml:space="preserve"> would be too long. However, assistance in indicating priorities is always helpful. </w:t>
      </w:r>
    </w:p>
    <w:p w14:paraId="1B71DEDF" w14:textId="77777777" w:rsidR="000538CC" w:rsidRPr="00E94048" w:rsidRDefault="000538CC" w:rsidP="000538CC">
      <w:pPr>
        <w:spacing w:after="240" w:line="240" w:lineRule="auto"/>
        <w:ind w:left="425" w:hanging="425"/>
        <w:rPr>
          <w:rFonts w:asciiTheme="minorHAnsi" w:hAnsiTheme="minorHAnsi" w:cstheme="minorHAnsi"/>
        </w:rPr>
      </w:pPr>
      <w:r w:rsidRPr="00E94048">
        <w:rPr>
          <w:rFonts w:asciiTheme="minorHAnsi" w:hAnsiTheme="minorHAnsi" w:cstheme="minorHAnsi"/>
        </w:rPr>
        <w:t>5.</w:t>
      </w:r>
      <w:r w:rsidRPr="00E94048">
        <w:rPr>
          <w:rFonts w:asciiTheme="minorHAnsi" w:hAnsiTheme="minorHAnsi" w:cstheme="minorHAnsi"/>
        </w:rPr>
        <w:tab/>
        <w:t xml:space="preserve">The </w:t>
      </w:r>
      <w:r w:rsidRPr="00E94048">
        <w:rPr>
          <w:rFonts w:asciiTheme="minorHAnsi" w:hAnsiTheme="minorHAnsi" w:cstheme="minorHAnsi"/>
          <w:i/>
        </w:rPr>
        <w:t>Terrestrial Manual</w:t>
      </w:r>
      <w:r w:rsidRPr="00E94048">
        <w:rPr>
          <w:rFonts w:asciiTheme="minorHAnsi" w:hAnsiTheme="minorHAnsi" w:cstheme="minorHAnsi"/>
        </w:rPr>
        <w:t xml:space="preserve"> is intended for world-wide use. The chapters need to reflect the development of new technology, while maintaining the established methods, usually requiring less sophisticated apparatus. New technology should not be described in detail until it has gained wide acceptance as a reliable method.</w:t>
      </w:r>
    </w:p>
    <w:p w14:paraId="7A7FCA2E" w14:textId="77777777" w:rsidR="000538CC" w:rsidRPr="00E94048" w:rsidRDefault="000538CC" w:rsidP="000538CC">
      <w:pPr>
        <w:spacing w:after="240" w:line="240" w:lineRule="auto"/>
        <w:ind w:left="425" w:hanging="425"/>
        <w:rPr>
          <w:rFonts w:asciiTheme="minorHAnsi" w:hAnsiTheme="minorHAnsi" w:cstheme="minorHAnsi"/>
        </w:rPr>
      </w:pPr>
      <w:r w:rsidRPr="00E94048">
        <w:rPr>
          <w:rFonts w:asciiTheme="minorHAnsi" w:hAnsiTheme="minorHAnsi" w:cstheme="minorHAnsi"/>
        </w:rPr>
        <w:t>6.</w:t>
      </w:r>
      <w:r w:rsidRPr="00E94048">
        <w:rPr>
          <w:rFonts w:asciiTheme="minorHAnsi" w:hAnsiTheme="minorHAnsi" w:cstheme="minorHAnsi"/>
        </w:rPr>
        <w:tab/>
        <w:t>We recommend that if you have no specific comments, please respond to the OIE to that effect.</w:t>
      </w:r>
    </w:p>
    <w:p w14:paraId="137C3742" w14:textId="77777777" w:rsidR="000538CC" w:rsidRPr="00E94048" w:rsidRDefault="000538CC" w:rsidP="000538CC">
      <w:pPr>
        <w:spacing w:after="240" w:line="240" w:lineRule="auto"/>
        <w:ind w:left="425" w:hanging="425"/>
        <w:rPr>
          <w:rFonts w:asciiTheme="minorHAnsi" w:hAnsiTheme="minorHAnsi" w:cstheme="minorHAnsi"/>
        </w:rPr>
      </w:pPr>
      <w:r w:rsidRPr="00E94048">
        <w:rPr>
          <w:rFonts w:asciiTheme="minorHAnsi" w:hAnsiTheme="minorHAnsi" w:cstheme="minorHAnsi"/>
        </w:rPr>
        <w:t>7.</w:t>
      </w:r>
      <w:r w:rsidRPr="00E94048">
        <w:rPr>
          <w:rFonts w:asciiTheme="minorHAnsi" w:hAnsiTheme="minorHAnsi" w:cstheme="minorHAnsi"/>
        </w:rPr>
        <w:tab/>
        <w:t>Any comments, proposed changes or revisions should be supported by clear evidence (the scientific rationale) such that some conclusion and action can be taken in response to them.</w:t>
      </w:r>
    </w:p>
    <w:p w14:paraId="1F608BDC" w14:textId="77777777" w:rsidR="000538CC" w:rsidRPr="00E94048" w:rsidRDefault="000538CC" w:rsidP="000538CC">
      <w:pPr>
        <w:tabs>
          <w:tab w:val="left" w:pos="0"/>
        </w:tabs>
        <w:spacing w:after="240" w:line="240" w:lineRule="auto"/>
        <w:rPr>
          <w:rFonts w:asciiTheme="minorHAnsi" w:hAnsiTheme="minorHAnsi" w:cstheme="minorHAnsi"/>
          <w:i/>
        </w:rPr>
      </w:pPr>
      <w:r w:rsidRPr="00E94048">
        <w:rPr>
          <w:rFonts w:asciiTheme="minorHAnsi" w:hAnsiTheme="minorHAnsi" w:cstheme="minorHAnsi"/>
          <w:i/>
        </w:rPr>
        <w:t>Your participation in the OIE Standard-setting process is valued. Thank you for your engagement in the process!</w:t>
      </w:r>
    </w:p>
    <w:p w14:paraId="55E24931" w14:textId="77777777" w:rsidR="000538CC" w:rsidRPr="00E94048" w:rsidRDefault="000538CC" w:rsidP="000538CC">
      <w:pPr>
        <w:spacing w:after="120" w:line="240" w:lineRule="auto"/>
        <w:rPr>
          <w:rFonts w:asciiTheme="minorHAnsi" w:hAnsiTheme="minorHAnsi" w:cstheme="minorHAnsi"/>
          <w:i/>
          <w:u w:val="single"/>
        </w:rPr>
      </w:pPr>
      <w:r w:rsidRPr="00E94048">
        <w:rPr>
          <w:rFonts w:asciiTheme="minorHAnsi" w:hAnsiTheme="minorHAnsi" w:cstheme="minorHAnsi"/>
          <w:i/>
          <w:u w:val="single"/>
        </w:rPr>
        <w:t>General Comments</w:t>
      </w:r>
    </w:p>
    <w:p w14:paraId="651EC792" w14:textId="77777777" w:rsidR="000538CC" w:rsidRPr="00E94048" w:rsidRDefault="000538CC" w:rsidP="000538CC">
      <w:pPr>
        <w:spacing w:after="120" w:line="240" w:lineRule="auto"/>
        <w:rPr>
          <w:rFonts w:asciiTheme="minorHAnsi" w:hAnsiTheme="minorHAnsi" w:cstheme="minorHAnsi"/>
          <w:i/>
          <w:u w:val="single"/>
        </w:rPr>
      </w:pPr>
    </w:p>
    <w:p w14:paraId="68DB2605" w14:textId="77777777" w:rsidR="000538CC" w:rsidRPr="00E94048" w:rsidRDefault="000538CC" w:rsidP="000538CC">
      <w:pPr>
        <w:spacing w:after="120" w:line="240" w:lineRule="auto"/>
        <w:rPr>
          <w:rFonts w:asciiTheme="minorHAnsi" w:hAnsiTheme="minorHAnsi" w:cstheme="minorHAnsi"/>
          <w:i/>
          <w:u w:val="single"/>
        </w:rPr>
      </w:pPr>
    </w:p>
    <w:p w14:paraId="3A4E82EE" w14:textId="77777777" w:rsidR="000538CC" w:rsidRPr="00E94048" w:rsidRDefault="000538CC" w:rsidP="000538CC">
      <w:pPr>
        <w:spacing w:after="120" w:line="240" w:lineRule="auto"/>
        <w:rPr>
          <w:rFonts w:asciiTheme="minorHAnsi" w:hAnsiTheme="minorHAnsi" w:cstheme="minorHAnsi"/>
          <w:i/>
          <w:u w:val="single"/>
        </w:rPr>
      </w:pPr>
    </w:p>
    <w:p w14:paraId="7101BAA0" w14:textId="77777777" w:rsidR="000538CC" w:rsidRPr="00E94048" w:rsidRDefault="000538CC" w:rsidP="000538CC">
      <w:pPr>
        <w:spacing w:after="120" w:line="240" w:lineRule="auto"/>
        <w:rPr>
          <w:rFonts w:asciiTheme="minorHAnsi" w:hAnsiTheme="minorHAnsi" w:cstheme="minorHAnsi"/>
          <w:i/>
          <w:u w:val="single"/>
        </w:rPr>
      </w:pPr>
    </w:p>
    <w:p w14:paraId="6A6187FB" w14:textId="77777777" w:rsidR="000538CC" w:rsidRPr="00E94048" w:rsidRDefault="000538CC" w:rsidP="000538CC">
      <w:pPr>
        <w:spacing w:after="120" w:line="240" w:lineRule="auto"/>
        <w:rPr>
          <w:rFonts w:asciiTheme="minorHAnsi" w:hAnsiTheme="minorHAnsi" w:cstheme="minorHAnsi"/>
          <w:u w:val="single"/>
        </w:rPr>
      </w:pPr>
      <w:r w:rsidRPr="00E94048">
        <w:rPr>
          <w:rFonts w:asciiTheme="minorHAnsi" w:hAnsiTheme="minorHAnsi" w:cstheme="minorHAnsi"/>
          <w:i/>
          <w:u w:val="single"/>
        </w:rPr>
        <w:t xml:space="preserve">Specific Comments </w:t>
      </w:r>
      <w:r w:rsidRPr="00E94048">
        <w:rPr>
          <w:rFonts w:asciiTheme="minorHAnsi" w:hAnsiTheme="minorHAnsi" w:cstheme="minorHAnsi"/>
          <w:u w:val="single"/>
        </w:rPr>
        <w:t>(</w:t>
      </w:r>
      <w:r w:rsidRPr="00E94048">
        <w:rPr>
          <w:rFonts w:asciiTheme="minorHAnsi" w:hAnsiTheme="minorHAnsi" w:cstheme="minorHAnsi"/>
          <w:i/>
          <w:u w:val="single"/>
        </w:rPr>
        <w:t>add continuation sheets if required</w:t>
      </w:r>
      <w:r w:rsidRPr="00E94048">
        <w:rPr>
          <w:rFonts w:asciiTheme="minorHAnsi" w:hAnsiTheme="minorHAnsi" w:cstheme="minorHAnsi"/>
          <w:u w:val="single"/>
        </w:rPr>
        <w:t>)</w:t>
      </w:r>
    </w:p>
    <w:p w14:paraId="3AAA8BC4" w14:textId="77777777" w:rsidR="000538CC" w:rsidRPr="00E94048" w:rsidRDefault="000538CC" w:rsidP="000538CC">
      <w:pPr>
        <w:spacing w:after="120" w:line="240" w:lineRule="auto"/>
        <w:rPr>
          <w:rFonts w:asciiTheme="minorHAnsi" w:hAnsiTheme="minorHAnsi" w:cstheme="minorHAnsi"/>
          <w:i/>
          <w:u w:val="single"/>
        </w:rPr>
      </w:pPr>
    </w:p>
    <w:p w14:paraId="3BC0A10A" w14:textId="77777777" w:rsidR="000538CC" w:rsidRPr="00E94048" w:rsidRDefault="000538CC" w:rsidP="000538CC">
      <w:pPr>
        <w:spacing w:line="240" w:lineRule="auto"/>
        <w:rPr>
          <w:rFonts w:asciiTheme="minorHAnsi" w:hAnsiTheme="minorHAnsi" w:cstheme="minorHAnsi"/>
          <w:i/>
        </w:rPr>
      </w:pPr>
      <w:r w:rsidRPr="00E94048">
        <w:rPr>
          <w:rFonts w:asciiTheme="minorHAnsi" w:hAnsiTheme="minorHAnsi" w:cstheme="minorHAnsi"/>
          <w:i/>
        </w:rPr>
        <w:t>line:</w:t>
      </w:r>
    </w:p>
    <w:p w14:paraId="67EED75E" w14:textId="77777777" w:rsidR="000538CC" w:rsidRPr="00E94048" w:rsidRDefault="000538CC" w:rsidP="000538CC">
      <w:pPr>
        <w:spacing w:line="240" w:lineRule="auto"/>
        <w:rPr>
          <w:rFonts w:asciiTheme="minorHAnsi" w:hAnsiTheme="minorHAnsi" w:cstheme="minorHAnsi"/>
          <w:color w:val="393830"/>
        </w:rPr>
      </w:pPr>
    </w:p>
    <w:p w14:paraId="0676BC3F" w14:textId="77777777" w:rsidR="000538CC" w:rsidRDefault="000538CC" w:rsidP="0053679F">
      <w:pPr>
        <w:pStyle w:val="TITRE"/>
        <w:tabs>
          <w:tab w:val="right" w:pos="1843"/>
        </w:tabs>
        <w:spacing w:line="240" w:lineRule="auto"/>
        <w:rPr>
          <w:rFonts w:ascii="Ottawa" w:hAnsi="Ottawa"/>
          <w:b w:val="0"/>
          <w:spacing w:val="60"/>
          <w:sz w:val="24"/>
          <w:lang w:val="en-IE"/>
        </w:rPr>
        <w:sectPr w:rsidR="000538CC" w:rsidSect="000538CC">
          <w:headerReference w:type="even" r:id="rId9"/>
          <w:headerReference w:type="default" r:id="rId10"/>
          <w:footerReference w:type="even" r:id="rId11"/>
          <w:footerReference w:type="default" r:id="rId12"/>
          <w:pgSz w:w="11907" w:h="16840" w:code="9"/>
          <w:pgMar w:top="-1418" w:right="1418" w:bottom="1418" w:left="1418" w:header="567" w:footer="567" w:gutter="0"/>
          <w:paperSrc w:first="7" w:other="7"/>
          <w:pgNumType w:start="1"/>
          <w:cols w:space="720"/>
          <w:titlePg/>
          <w:docGrid w:linePitch="272"/>
        </w:sectPr>
      </w:pPr>
    </w:p>
    <w:p w14:paraId="56173ECE" w14:textId="4CE84A49" w:rsidR="007E56A8" w:rsidRPr="007E51E0" w:rsidRDefault="007E56A8" w:rsidP="0053679F">
      <w:pPr>
        <w:pStyle w:val="TITRE"/>
        <w:tabs>
          <w:tab w:val="right" w:pos="1843"/>
        </w:tabs>
        <w:spacing w:line="240" w:lineRule="auto"/>
        <w:rPr>
          <w:rFonts w:ascii="Ottawa" w:hAnsi="Ottawa"/>
          <w:b w:val="0"/>
          <w:smallCaps/>
          <w:spacing w:val="60"/>
          <w:sz w:val="24"/>
          <w:lang w:val="en-IE"/>
        </w:rPr>
      </w:pPr>
      <w:r w:rsidRPr="007E51E0">
        <w:rPr>
          <w:rFonts w:ascii="Ottawa" w:hAnsi="Ottawa"/>
          <w:b w:val="0"/>
          <w:spacing w:val="60"/>
          <w:sz w:val="24"/>
          <w:lang w:val="en-IE"/>
        </w:rPr>
        <w:lastRenderedPageBreak/>
        <w:t>chapter</w:t>
      </w:r>
      <w:r w:rsidRPr="007E51E0">
        <w:rPr>
          <w:rFonts w:ascii="Ottawa" w:hAnsi="Ottawa"/>
          <w:b w:val="0"/>
          <w:smallCaps/>
          <w:spacing w:val="60"/>
          <w:sz w:val="24"/>
          <w:lang w:val="en-IE"/>
        </w:rPr>
        <w:t xml:space="preserve"> </w:t>
      </w:r>
      <w:r w:rsidR="000D40C9">
        <w:rPr>
          <w:rFonts w:ascii="Ottawa" w:hAnsi="Ottawa"/>
          <w:b w:val="0"/>
          <w:smallCaps/>
          <w:spacing w:val="60"/>
          <w:sz w:val="24"/>
          <w:lang w:val="en-IE"/>
        </w:rPr>
        <w:t>3</w:t>
      </w:r>
      <w:r w:rsidRPr="007E51E0">
        <w:rPr>
          <w:rFonts w:ascii="Ottawa" w:hAnsi="Ottawa"/>
          <w:b w:val="0"/>
          <w:smallCaps/>
          <w:spacing w:val="60"/>
          <w:sz w:val="24"/>
          <w:lang w:val="en-IE"/>
        </w:rPr>
        <w:t>.</w:t>
      </w:r>
      <w:r w:rsidR="008016BD">
        <w:rPr>
          <w:rFonts w:ascii="Ottawa" w:hAnsi="Ottawa"/>
          <w:b w:val="0"/>
          <w:smallCaps/>
          <w:spacing w:val="60"/>
          <w:sz w:val="24"/>
          <w:lang w:val="en-IE"/>
        </w:rPr>
        <w:t>6</w:t>
      </w:r>
      <w:r w:rsidRPr="007E51E0">
        <w:rPr>
          <w:rFonts w:ascii="Ottawa" w:hAnsi="Ottawa"/>
          <w:b w:val="0"/>
          <w:smallCaps/>
          <w:spacing w:val="60"/>
          <w:sz w:val="24"/>
          <w:lang w:val="en-IE"/>
        </w:rPr>
        <w:t>.11.</w:t>
      </w:r>
    </w:p>
    <w:p w14:paraId="54D13DDA" w14:textId="1B2FB809" w:rsidR="007E56A8" w:rsidRPr="007E51E0" w:rsidRDefault="007E56A8">
      <w:pPr>
        <w:pStyle w:val="TITRE"/>
        <w:pBdr>
          <w:bottom w:val="single" w:sz="6" w:space="10" w:color="auto"/>
        </w:pBdr>
        <w:tabs>
          <w:tab w:val="right" w:pos="1843"/>
        </w:tabs>
        <w:spacing w:after="480" w:line="240" w:lineRule="auto"/>
        <w:rPr>
          <w:rFonts w:ascii="Ottawa" w:hAnsi="Ottawa"/>
          <w:spacing w:val="40"/>
          <w:sz w:val="32"/>
          <w:lang w:val="en-IE"/>
        </w:rPr>
      </w:pPr>
      <w:r w:rsidRPr="007E51E0">
        <w:rPr>
          <w:rFonts w:ascii="Ottawa" w:hAnsi="Ottawa"/>
          <w:spacing w:val="40"/>
          <w:sz w:val="32"/>
          <w:lang w:val="en-IE"/>
        </w:rPr>
        <w:t>glanders</w:t>
      </w:r>
      <w:r w:rsidR="00F95C80" w:rsidRPr="007E51E0">
        <w:rPr>
          <w:rFonts w:ascii="Ottawa" w:hAnsi="Ottawa"/>
          <w:spacing w:val="40"/>
          <w:sz w:val="32"/>
          <w:lang w:val="en-IE"/>
        </w:rPr>
        <w:t xml:space="preserve"> and Melioidosis</w:t>
      </w:r>
    </w:p>
    <w:p w14:paraId="7A3EA5F0" w14:textId="77777777" w:rsidR="007E56A8" w:rsidRPr="007E51E0" w:rsidRDefault="007E56A8" w:rsidP="00CE196C">
      <w:pPr>
        <w:spacing w:before="980" w:after="200" w:line="240" w:lineRule="auto"/>
        <w:jc w:val="center"/>
        <w:rPr>
          <w:rFonts w:ascii="Ottawa" w:hAnsi="Ottawa"/>
          <w:b/>
          <w:spacing w:val="20"/>
          <w:sz w:val="24"/>
          <w:lang w:val="en-IE"/>
        </w:rPr>
      </w:pPr>
      <w:r w:rsidRPr="007E51E0">
        <w:rPr>
          <w:rFonts w:ascii="Ottawa" w:hAnsi="Ottawa"/>
          <w:b/>
          <w:spacing w:val="20"/>
          <w:sz w:val="24"/>
          <w:lang w:val="en-IE"/>
        </w:rPr>
        <w:t>SUMMARY</w:t>
      </w:r>
    </w:p>
    <w:p w14:paraId="5070EEE8" w14:textId="652FDBAD" w:rsidR="007E56A8" w:rsidRPr="007E51E0" w:rsidRDefault="002078AA" w:rsidP="00377987">
      <w:pPr>
        <w:pStyle w:val="sumtexte"/>
        <w:rPr>
          <w:lang w:val="en-IE"/>
        </w:rPr>
      </w:pPr>
      <w:r w:rsidRPr="007E51E0">
        <w:rPr>
          <w:b/>
          <w:bCs/>
          <w:lang w:val="en-IE"/>
        </w:rPr>
        <w:t>Description and importance of the disease</w:t>
      </w:r>
      <w:r w:rsidRPr="007E51E0">
        <w:rPr>
          <w:lang w:val="en-IE"/>
        </w:rPr>
        <w:t xml:space="preserve">: </w:t>
      </w:r>
      <w:r w:rsidR="007E56A8" w:rsidRPr="007E51E0">
        <w:rPr>
          <w:lang w:val="en-IE"/>
        </w:rPr>
        <w:t>Glanders is a contagious and fatal disease of horses, donkeys, and mules,</w:t>
      </w:r>
      <w:r w:rsidR="00201689" w:rsidRPr="007E51E0">
        <w:rPr>
          <w:lang w:val="en-IE"/>
        </w:rPr>
        <w:t xml:space="preserve"> </w:t>
      </w:r>
      <w:r w:rsidR="007E56A8" w:rsidRPr="007E51E0">
        <w:rPr>
          <w:lang w:val="en-IE"/>
        </w:rPr>
        <w:t xml:space="preserve">caused by infection with the bacterium </w:t>
      </w:r>
      <w:proofErr w:type="spellStart"/>
      <w:r w:rsidR="007E56A8" w:rsidRPr="007E51E0">
        <w:rPr>
          <w:i w:val="0"/>
          <w:lang w:val="en-IE"/>
        </w:rPr>
        <w:t>Burkholderia</w:t>
      </w:r>
      <w:proofErr w:type="spellEnd"/>
      <w:r w:rsidR="007E56A8" w:rsidRPr="007E51E0">
        <w:rPr>
          <w:i w:val="0"/>
          <w:lang w:val="en-IE"/>
        </w:rPr>
        <w:t xml:space="preserve"> mallei</w:t>
      </w:r>
      <w:r w:rsidR="007E56A8" w:rsidRPr="007E51E0">
        <w:rPr>
          <w:lang w:val="en-IE"/>
        </w:rPr>
        <w:t xml:space="preserve">. The </w:t>
      </w:r>
      <w:r w:rsidR="00AF13A7" w:rsidRPr="007E51E0">
        <w:rPr>
          <w:lang w:val="en-IE"/>
        </w:rPr>
        <w:t xml:space="preserve">pathogen </w:t>
      </w:r>
      <w:r w:rsidR="007E56A8" w:rsidRPr="007E51E0">
        <w:rPr>
          <w:lang w:val="en-IE"/>
        </w:rPr>
        <w:t xml:space="preserve">causes nodules and ulcerations in the upper respiratory tract and lungs. A skin form also occurs, known as ‘farcy’. </w:t>
      </w:r>
    </w:p>
    <w:p w14:paraId="11AB624E" w14:textId="2E3F6407" w:rsidR="000239E6" w:rsidRPr="007E51E0" w:rsidRDefault="00556C73" w:rsidP="00377987">
      <w:pPr>
        <w:pStyle w:val="sumtexte"/>
        <w:rPr>
          <w:lang w:val="en-IE" w:eastAsia="de-DE"/>
        </w:rPr>
      </w:pPr>
      <w:r w:rsidRPr="007E51E0">
        <w:rPr>
          <w:lang w:val="en-IE" w:eastAsia="de-DE"/>
        </w:rPr>
        <w:t xml:space="preserve">Melioidosis is an infectious disease caused by </w:t>
      </w:r>
      <w:proofErr w:type="spellStart"/>
      <w:r w:rsidRPr="007E51E0">
        <w:rPr>
          <w:i w:val="0"/>
          <w:lang w:val="en-IE" w:eastAsia="de-DE"/>
        </w:rPr>
        <w:t>B</w:t>
      </w:r>
      <w:r w:rsidR="007C7521" w:rsidRPr="007E51E0">
        <w:rPr>
          <w:i w:val="0"/>
          <w:lang w:val="en-IE" w:eastAsia="de-DE"/>
        </w:rPr>
        <w:t>urkholderia</w:t>
      </w:r>
      <w:proofErr w:type="spellEnd"/>
      <w:r w:rsidR="002D09EA" w:rsidRPr="007E51E0">
        <w:rPr>
          <w:i w:val="0"/>
          <w:lang w:val="en-IE" w:eastAsia="de-DE"/>
        </w:rPr>
        <w:t> </w:t>
      </w:r>
      <w:proofErr w:type="spellStart"/>
      <w:r w:rsidRPr="007E51E0">
        <w:rPr>
          <w:i w:val="0"/>
          <w:lang w:val="en-IE" w:eastAsia="de-DE"/>
        </w:rPr>
        <w:t>pseudomallei</w:t>
      </w:r>
      <w:proofErr w:type="spellEnd"/>
      <w:r w:rsidR="00044195" w:rsidRPr="007E51E0">
        <w:rPr>
          <w:lang w:val="en-IE" w:eastAsia="de-DE"/>
        </w:rPr>
        <w:t xml:space="preserve"> </w:t>
      </w:r>
      <w:r w:rsidRPr="007E51E0">
        <w:rPr>
          <w:lang w:val="en-IE" w:eastAsia="de-DE"/>
        </w:rPr>
        <w:t xml:space="preserve">in </w:t>
      </w:r>
      <w:r w:rsidR="002D09EA" w:rsidRPr="007E51E0">
        <w:rPr>
          <w:lang w:val="en-IE" w:eastAsia="de-DE"/>
        </w:rPr>
        <w:t>humans</w:t>
      </w:r>
      <w:r w:rsidRPr="007E51E0">
        <w:rPr>
          <w:lang w:val="en-IE" w:eastAsia="de-DE"/>
        </w:rPr>
        <w:t xml:space="preserve"> and animals</w:t>
      </w:r>
      <w:r w:rsidR="00044195" w:rsidRPr="007E51E0">
        <w:rPr>
          <w:lang w:val="en-IE" w:eastAsia="de-DE"/>
        </w:rPr>
        <w:t xml:space="preserve"> and </w:t>
      </w:r>
      <w:r w:rsidR="007C7521" w:rsidRPr="007E51E0">
        <w:rPr>
          <w:lang w:val="en-IE" w:eastAsia="de-DE"/>
        </w:rPr>
        <w:t xml:space="preserve">sometimes </w:t>
      </w:r>
      <w:r w:rsidR="00044195" w:rsidRPr="007E51E0">
        <w:rPr>
          <w:lang w:val="en-IE" w:eastAsia="de-DE"/>
        </w:rPr>
        <w:t>resembles glanders in horses.</w:t>
      </w:r>
      <w:r w:rsidRPr="007E51E0">
        <w:rPr>
          <w:lang w:val="en-IE"/>
        </w:rPr>
        <w:t xml:space="preserve"> </w:t>
      </w:r>
      <w:r w:rsidR="007C7521" w:rsidRPr="007E51E0">
        <w:rPr>
          <w:lang w:val="en-IE"/>
        </w:rPr>
        <w:t xml:space="preserve">This chapter focuses on the disease in horses. </w:t>
      </w:r>
      <w:proofErr w:type="spellStart"/>
      <w:r w:rsidR="0093774D" w:rsidRPr="007E51E0">
        <w:rPr>
          <w:i w:val="0"/>
          <w:lang w:val="en-IE" w:eastAsia="de-DE"/>
        </w:rPr>
        <w:t>Burkholderia</w:t>
      </w:r>
      <w:proofErr w:type="spellEnd"/>
      <w:r w:rsidR="0093774D" w:rsidRPr="007E51E0">
        <w:rPr>
          <w:i w:val="0"/>
          <w:lang w:val="en-IE" w:eastAsia="de-DE"/>
        </w:rPr>
        <w:t xml:space="preserve"> </w:t>
      </w:r>
      <w:r w:rsidR="00723A8B" w:rsidRPr="007E51E0">
        <w:rPr>
          <w:i w:val="0"/>
          <w:lang w:val="en-IE" w:eastAsia="de-DE"/>
        </w:rPr>
        <w:t>mallei</w:t>
      </w:r>
      <w:r w:rsidR="00723A8B" w:rsidRPr="007E51E0">
        <w:rPr>
          <w:lang w:val="en-IE" w:eastAsia="de-DE"/>
        </w:rPr>
        <w:t xml:space="preserve"> has </w:t>
      </w:r>
      <w:r w:rsidR="007C7521" w:rsidRPr="007E51E0">
        <w:rPr>
          <w:lang w:val="en-IE" w:eastAsia="de-DE"/>
        </w:rPr>
        <w:t xml:space="preserve">evolved </w:t>
      </w:r>
      <w:r w:rsidR="00723A8B" w:rsidRPr="007E51E0">
        <w:rPr>
          <w:lang w:val="en-IE" w:eastAsia="de-DE"/>
        </w:rPr>
        <w:t xml:space="preserve">from </w:t>
      </w:r>
      <w:r w:rsidR="00723A8B" w:rsidRPr="007E51E0">
        <w:rPr>
          <w:i w:val="0"/>
          <w:lang w:val="en-IE" w:eastAsia="de-DE"/>
        </w:rPr>
        <w:t>B</w:t>
      </w:r>
      <w:r w:rsidR="0093774D" w:rsidRPr="007E51E0">
        <w:rPr>
          <w:i w:val="0"/>
          <w:lang w:val="en-IE" w:eastAsia="de-DE"/>
        </w:rPr>
        <w:t>. </w:t>
      </w:r>
      <w:proofErr w:type="spellStart"/>
      <w:r w:rsidR="00723A8B" w:rsidRPr="007E51E0">
        <w:rPr>
          <w:i w:val="0"/>
          <w:lang w:val="en-IE" w:eastAsia="de-DE"/>
        </w:rPr>
        <w:t>pseudomallei</w:t>
      </w:r>
      <w:proofErr w:type="spellEnd"/>
      <w:r w:rsidR="00723A8B" w:rsidRPr="007E51E0">
        <w:rPr>
          <w:lang w:val="en-IE" w:eastAsia="de-DE"/>
        </w:rPr>
        <w:t xml:space="preserve"> by reduction of genetic information and </w:t>
      </w:r>
      <w:r w:rsidR="007C7521" w:rsidRPr="007E51E0">
        <w:rPr>
          <w:lang w:val="en-IE" w:eastAsia="de-DE"/>
        </w:rPr>
        <w:t xml:space="preserve">is phylogenetically </w:t>
      </w:r>
      <w:r w:rsidR="00723A8B" w:rsidRPr="007E51E0">
        <w:rPr>
          <w:lang w:val="en-IE" w:eastAsia="de-DE"/>
        </w:rPr>
        <w:t>considered as a clone</w:t>
      </w:r>
      <w:r w:rsidR="0093774D" w:rsidRPr="007E51E0">
        <w:rPr>
          <w:lang w:val="en-IE" w:eastAsia="de-DE"/>
        </w:rPr>
        <w:t>,</w:t>
      </w:r>
      <w:r w:rsidR="00723A8B" w:rsidRPr="007E51E0">
        <w:rPr>
          <w:lang w:val="en-IE" w:eastAsia="de-DE"/>
        </w:rPr>
        <w:t xml:space="preserve"> i.e. </w:t>
      </w:r>
      <w:r w:rsidR="007C7521" w:rsidRPr="007E51E0">
        <w:rPr>
          <w:lang w:val="en-IE" w:eastAsia="de-DE"/>
        </w:rPr>
        <w:t xml:space="preserve">a </w:t>
      </w:r>
      <w:r w:rsidR="00723A8B" w:rsidRPr="007E51E0">
        <w:rPr>
          <w:lang w:val="en-IE" w:eastAsia="de-DE"/>
        </w:rPr>
        <w:t>pathovar</w:t>
      </w:r>
      <w:r w:rsidR="007C7521" w:rsidRPr="007E51E0">
        <w:rPr>
          <w:lang w:val="en-IE" w:eastAsia="de-DE"/>
        </w:rPr>
        <w:t xml:space="preserve"> of </w:t>
      </w:r>
      <w:r w:rsidR="007C7521" w:rsidRPr="007E51E0">
        <w:rPr>
          <w:i w:val="0"/>
          <w:lang w:val="en-IE" w:eastAsia="de-DE"/>
        </w:rPr>
        <w:t>B. </w:t>
      </w:r>
      <w:proofErr w:type="spellStart"/>
      <w:r w:rsidR="007C7521" w:rsidRPr="007E51E0">
        <w:rPr>
          <w:i w:val="0"/>
          <w:lang w:val="en-IE" w:eastAsia="de-DE"/>
        </w:rPr>
        <w:t>pseudomallei</w:t>
      </w:r>
      <w:proofErr w:type="spellEnd"/>
      <w:r w:rsidR="00723A8B" w:rsidRPr="007E51E0">
        <w:rPr>
          <w:lang w:val="en-IE" w:eastAsia="de-DE"/>
        </w:rPr>
        <w:t xml:space="preserve">. </w:t>
      </w:r>
    </w:p>
    <w:p w14:paraId="4D9323E4" w14:textId="1F7B8735" w:rsidR="00556C73" w:rsidRPr="007E51E0" w:rsidRDefault="00AB76CC" w:rsidP="0093774D">
      <w:pPr>
        <w:pStyle w:val="sumtexte"/>
        <w:rPr>
          <w:lang w:val="en-IE"/>
        </w:rPr>
      </w:pPr>
      <w:r w:rsidRPr="007E51E0">
        <w:rPr>
          <w:lang w:val="en-IE"/>
        </w:rPr>
        <w:t xml:space="preserve">Control of glanders and melioidosis requires testing of suspect clinical cases, screening of apparently normal equids, and elimination of reactors. </w:t>
      </w:r>
      <w:r w:rsidR="002C4F5A" w:rsidRPr="007E51E0">
        <w:rPr>
          <w:lang w:val="en-IE"/>
        </w:rPr>
        <w:t xml:space="preserve">Stable hygiene and manure management are imperative. </w:t>
      </w:r>
      <w:r w:rsidR="000239E6" w:rsidRPr="007E51E0">
        <w:rPr>
          <w:lang w:val="en-IE"/>
        </w:rPr>
        <w:t xml:space="preserve">As </w:t>
      </w:r>
      <w:r w:rsidR="000239E6" w:rsidRPr="007E51E0">
        <w:rPr>
          <w:i w:val="0"/>
          <w:lang w:val="en-IE"/>
        </w:rPr>
        <w:t>B. mallei</w:t>
      </w:r>
      <w:r w:rsidR="000239E6" w:rsidRPr="007E51E0">
        <w:rPr>
          <w:lang w:val="en-IE"/>
        </w:rPr>
        <w:t xml:space="preserve"> and </w:t>
      </w:r>
      <w:r w:rsidR="000239E6" w:rsidRPr="007E51E0">
        <w:rPr>
          <w:i w:val="0"/>
          <w:lang w:val="en-IE"/>
        </w:rPr>
        <w:t>B</w:t>
      </w:r>
      <w:r w:rsidR="007C7521" w:rsidRPr="007E51E0">
        <w:rPr>
          <w:i w:val="0"/>
          <w:lang w:val="en-IE"/>
        </w:rPr>
        <w:t>. </w:t>
      </w:r>
      <w:proofErr w:type="spellStart"/>
      <w:r w:rsidR="000239E6" w:rsidRPr="007E51E0">
        <w:rPr>
          <w:i w:val="0"/>
          <w:lang w:val="en-IE"/>
        </w:rPr>
        <w:t>pseudomallei</w:t>
      </w:r>
      <w:proofErr w:type="spellEnd"/>
      <w:r w:rsidR="000239E6" w:rsidRPr="007E51E0">
        <w:rPr>
          <w:lang w:val="en-IE"/>
        </w:rPr>
        <w:t xml:space="preserve"> can be transmitted to humans, all infected or contaminated (or potentially infected or contaminated) material must be handled in a laboratory with appropriate biosafety and biosecurity controls following a </w:t>
      </w:r>
      <w:proofErr w:type="spellStart"/>
      <w:r w:rsidR="000239E6" w:rsidRPr="007E51E0">
        <w:rPr>
          <w:lang w:val="en-IE"/>
        </w:rPr>
        <w:t>biorisk</w:t>
      </w:r>
      <w:proofErr w:type="spellEnd"/>
      <w:r w:rsidR="000239E6" w:rsidRPr="007E51E0">
        <w:rPr>
          <w:lang w:val="en-IE"/>
        </w:rPr>
        <w:t xml:space="preserve"> analysis.</w:t>
      </w:r>
      <w:r w:rsidR="0093774D" w:rsidRPr="007E51E0">
        <w:rPr>
          <w:lang w:val="en-IE"/>
        </w:rPr>
        <w:t xml:space="preserve"> </w:t>
      </w:r>
    </w:p>
    <w:p w14:paraId="178A2AE7" w14:textId="7C6FBA7D" w:rsidR="007E56A8" w:rsidRPr="007E51E0" w:rsidRDefault="00C07D76" w:rsidP="0093774D">
      <w:pPr>
        <w:pStyle w:val="sumtexte"/>
        <w:rPr>
          <w:lang w:val="en-IE"/>
        </w:rPr>
      </w:pPr>
      <w:r>
        <w:rPr>
          <w:b/>
          <w:lang w:val="en-IE"/>
        </w:rPr>
        <w:t>Detection</w:t>
      </w:r>
      <w:r w:rsidR="007E56A8" w:rsidRPr="007E51E0">
        <w:rPr>
          <w:b/>
          <w:lang w:val="en-IE"/>
        </w:rPr>
        <w:t xml:space="preserve"> of the agent:</w:t>
      </w:r>
      <w:r w:rsidR="007E56A8" w:rsidRPr="007E51E0">
        <w:rPr>
          <w:lang w:val="en-IE"/>
        </w:rPr>
        <w:t xml:space="preserve"> Smears from fresh material </w:t>
      </w:r>
      <w:r w:rsidR="002C03AA" w:rsidRPr="007E51E0">
        <w:rPr>
          <w:lang w:val="en-IE"/>
        </w:rPr>
        <w:t xml:space="preserve">containing </w:t>
      </w:r>
      <w:r w:rsidR="002C03AA" w:rsidRPr="007E51E0">
        <w:rPr>
          <w:i w:val="0"/>
          <w:lang w:val="en-IE"/>
        </w:rPr>
        <w:t>B. mallei</w:t>
      </w:r>
      <w:r w:rsidR="002C03AA" w:rsidRPr="007E51E0">
        <w:rPr>
          <w:lang w:val="en-IE"/>
        </w:rPr>
        <w:t xml:space="preserve"> bacteria </w:t>
      </w:r>
      <w:r w:rsidR="007E56A8" w:rsidRPr="007E51E0">
        <w:rPr>
          <w:lang w:val="en-IE"/>
        </w:rPr>
        <w:t xml:space="preserve">may reveal Gram-negative nonsporulating, nonencapsulated rods. </w:t>
      </w:r>
      <w:proofErr w:type="spellStart"/>
      <w:r w:rsidR="0093774D" w:rsidRPr="007E51E0">
        <w:rPr>
          <w:i w:val="0"/>
          <w:lang w:val="en-IE" w:eastAsia="de-DE"/>
        </w:rPr>
        <w:t>Burkholderia</w:t>
      </w:r>
      <w:proofErr w:type="spellEnd"/>
      <w:r w:rsidR="002C03AA" w:rsidRPr="007E51E0">
        <w:rPr>
          <w:i w:val="0"/>
          <w:lang w:val="en-IE"/>
        </w:rPr>
        <w:t xml:space="preserve"> mallei</w:t>
      </w:r>
      <w:r w:rsidR="007E56A8" w:rsidRPr="007E51E0">
        <w:rPr>
          <w:lang w:val="en-IE"/>
        </w:rPr>
        <w:t xml:space="preserve"> grow</w:t>
      </w:r>
      <w:r w:rsidR="002C03AA" w:rsidRPr="007E51E0">
        <w:rPr>
          <w:lang w:val="en-IE"/>
        </w:rPr>
        <w:t>s</w:t>
      </w:r>
      <w:r w:rsidR="007E56A8" w:rsidRPr="007E51E0">
        <w:rPr>
          <w:lang w:val="en-IE"/>
        </w:rPr>
        <w:t xml:space="preserve"> aerobically and prefer</w:t>
      </w:r>
      <w:r w:rsidR="002C03AA" w:rsidRPr="007E51E0">
        <w:rPr>
          <w:lang w:val="en-IE"/>
        </w:rPr>
        <w:t>s</w:t>
      </w:r>
      <w:r w:rsidR="007E56A8" w:rsidRPr="007E51E0">
        <w:rPr>
          <w:lang w:val="en-IE"/>
        </w:rPr>
        <w:t xml:space="preserve"> media that contain glycerol. </w:t>
      </w:r>
      <w:r w:rsidR="00044195" w:rsidRPr="007E51E0">
        <w:rPr>
          <w:lang w:val="en-IE" w:eastAsia="de-DE"/>
        </w:rPr>
        <w:t xml:space="preserve">Standard media for isolation of </w:t>
      </w:r>
      <w:r w:rsidR="00044195" w:rsidRPr="007E51E0">
        <w:rPr>
          <w:i w:val="0"/>
          <w:lang w:val="en-IE" w:eastAsia="de-DE"/>
        </w:rPr>
        <w:t xml:space="preserve">B. </w:t>
      </w:r>
      <w:proofErr w:type="spellStart"/>
      <w:r w:rsidR="00044195" w:rsidRPr="007E51E0">
        <w:rPr>
          <w:i w:val="0"/>
          <w:lang w:val="en-IE" w:eastAsia="de-DE"/>
        </w:rPr>
        <w:t>pseudomallei</w:t>
      </w:r>
      <w:proofErr w:type="spellEnd"/>
      <w:r w:rsidR="00044195" w:rsidRPr="007E51E0">
        <w:rPr>
          <w:lang w:val="en-IE" w:eastAsia="de-DE"/>
        </w:rPr>
        <w:t xml:space="preserve"> can be used and selective enrichment techniques </w:t>
      </w:r>
      <w:r w:rsidR="006E4C41" w:rsidRPr="007E51E0">
        <w:rPr>
          <w:lang w:val="en-IE" w:eastAsia="de-DE"/>
        </w:rPr>
        <w:t xml:space="preserve">have been </w:t>
      </w:r>
      <w:r w:rsidR="00044195" w:rsidRPr="007E51E0">
        <w:rPr>
          <w:lang w:val="en-IE" w:eastAsia="de-DE"/>
        </w:rPr>
        <w:t xml:space="preserve">developed. </w:t>
      </w:r>
      <w:r w:rsidR="00AB76CC" w:rsidRPr="007E51E0">
        <w:rPr>
          <w:lang w:val="en-IE"/>
        </w:rPr>
        <w:t xml:space="preserve">The presence of a capsule-like cover has been demonstrated by electron microscopy </w:t>
      </w:r>
      <w:r w:rsidR="002C4F5A" w:rsidRPr="007E51E0">
        <w:rPr>
          <w:lang w:val="en-IE"/>
        </w:rPr>
        <w:t>in</w:t>
      </w:r>
      <w:r w:rsidR="00AB76CC" w:rsidRPr="007E51E0">
        <w:rPr>
          <w:lang w:val="en-IE"/>
        </w:rPr>
        <w:t xml:space="preserve"> both agents. </w:t>
      </w:r>
      <w:r w:rsidR="007E56A8" w:rsidRPr="007E51E0">
        <w:rPr>
          <w:lang w:val="en-IE"/>
        </w:rPr>
        <w:t xml:space="preserve">Unlike the </w:t>
      </w:r>
      <w:r w:rsidR="007E56A8" w:rsidRPr="007E51E0">
        <w:rPr>
          <w:i w:val="0"/>
          <w:lang w:val="en-IE"/>
        </w:rPr>
        <w:t>Pseudomonas</w:t>
      </w:r>
      <w:r w:rsidR="007E56A8" w:rsidRPr="007E51E0">
        <w:rPr>
          <w:lang w:val="en-IE"/>
        </w:rPr>
        <w:t xml:space="preserve"> species and the closely related bacterium </w:t>
      </w:r>
      <w:r w:rsidR="007E56A8" w:rsidRPr="007E51E0">
        <w:rPr>
          <w:i w:val="0"/>
          <w:lang w:val="en-IE"/>
        </w:rPr>
        <w:t>B. </w:t>
      </w:r>
      <w:proofErr w:type="spellStart"/>
      <w:r w:rsidR="007E56A8" w:rsidRPr="007E51E0">
        <w:rPr>
          <w:i w:val="0"/>
          <w:lang w:val="en-IE"/>
        </w:rPr>
        <w:t>pseudomallei</w:t>
      </w:r>
      <w:proofErr w:type="spellEnd"/>
      <w:r w:rsidR="007E56A8" w:rsidRPr="007E51E0">
        <w:rPr>
          <w:i w:val="0"/>
          <w:lang w:val="en-IE"/>
        </w:rPr>
        <w:t>, B. mallei</w:t>
      </w:r>
      <w:r w:rsidR="007E56A8" w:rsidRPr="007E51E0">
        <w:rPr>
          <w:lang w:val="en-IE"/>
        </w:rPr>
        <w:t xml:space="preserve"> is nonmotile. </w:t>
      </w:r>
      <w:r w:rsidR="0002057A" w:rsidRPr="007E51E0">
        <w:rPr>
          <w:lang w:val="en-IE" w:eastAsia="de-DE"/>
        </w:rPr>
        <w:t>For identification</w:t>
      </w:r>
      <w:r w:rsidR="00217E46" w:rsidRPr="007E51E0">
        <w:rPr>
          <w:lang w:val="en-IE" w:eastAsia="de-DE"/>
        </w:rPr>
        <w:t>,</w:t>
      </w:r>
      <w:r w:rsidR="0002057A" w:rsidRPr="007E51E0">
        <w:rPr>
          <w:lang w:val="en-IE" w:eastAsia="de-DE"/>
        </w:rPr>
        <w:t xml:space="preserve"> biochemical phenotyping can be used. </w:t>
      </w:r>
      <w:r w:rsidR="00217E46" w:rsidRPr="007E51E0">
        <w:rPr>
          <w:lang w:val="en-IE"/>
        </w:rPr>
        <w:t xml:space="preserve">Commercially available biochemical identification kits lack diagnostic sensitivity. </w:t>
      </w:r>
      <w:r w:rsidR="00171462" w:rsidRPr="007E51E0">
        <w:rPr>
          <w:lang w:val="en-IE"/>
        </w:rPr>
        <w:t>MALDI</w:t>
      </w:r>
      <w:r w:rsidR="003C4D72" w:rsidRPr="007E51E0">
        <w:rPr>
          <w:lang w:val="en-IE"/>
        </w:rPr>
        <w:t>-</w:t>
      </w:r>
      <w:r w:rsidR="00171462" w:rsidRPr="007E51E0">
        <w:rPr>
          <w:lang w:val="en-IE"/>
        </w:rPr>
        <w:t xml:space="preserve">TOF spectra have been made available for both agents in the past years. Whole genome sequences have been published. </w:t>
      </w:r>
      <w:r w:rsidR="00044195" w:rsidRPr="007E51E0">
        <w:rPr>
          <w:lang w:val="en-IE"/>
        </w:rPr>
        <w:t xml:space="preserve">Specific monoclonal antibodies and polymerase chain reaction </w:t>
      </w:r>
      <w:r w:rsidR="00044195" w:rsidRPr="007E51E0">
        <w:rPr>
          <w:i w:val="0"/>
          <w:lang w:val="en-IE"/>
        </w:rPr>
        <w:t>(</w:t>
      </w:r>
      <w:r w:rsidR="00044195" w:rsidRPr="007E51E0">
        <w:rPr>
          <w:lang w:val="en-IE"/>
        </w:rPr>
        <w:t>PCR</w:t>
      </w:r>
      <w:r w:rsidR="00044195" w:rsidRPr="007E51E0">
        <w:rPr>
          <w:i w:val="0"/>
          <w:lang w:val="en-IE"/>
        </w:rPr>
        <w:t>)</w:t>
      </w:r>
      <w:r w:rsidR="00044195" w:rsidRPr="007E51E0">
        <w:rPr>
          <w:lang w:val="en-IE"/>
        </w:rPr>
        <w:t xml:space="preserve"> as well as real-time PCR assays are available. </w:t>
      </w:r>
    </w:p>
    <w:p w14:paraId="0D96BD93" w14:textId="6A572007" w:rsidR="007E56A8" w:rsidRPr="007E51E0" w:rsidRDefault="007E56A8" w:rsidP="0093774D">
      <w:pPr>
        <w:pStyle w:val="sumtexte"/>
        <w:rPr>
          <w:lang w:val="en-IE"/>
        </w:rPr>
      </w:pPr>
      <w:r w:rsidRPr="007E51E0">
        <w:rPr>
          <w:b/>
          <w:lang w:val="en-IE"/>
        </w:rPr>
        <w:t>Serological tests:</w:t>
      </w:r>
      <w:r w:rsidRPr="007E51E0">
        <w:rPr>
          <w:lang w:val="en-IE"/>
        </w:rPr>
        <w:t xml:space="preserve"> </w:t>
      </w:r>
      <w:r w:rsidR="003C4D72" w:rsidRPr="007E51E0">
        <w:rPr>
          <w:lang w:val="en-IE"/>
        </w:rPr>
        <w:t xml:space="preserve">Complement fixation </w:t>
      </w:r>
      <w:r w:rsidR="00F63BA8" w:rsidRPr="007E51E0">
        <w:rPr>
          <w:lang w:val="en-IE"/>
        </w:rPr>
        <w:t>is an</w:t>
      </w:r>
      <w:r w:rsidR="00201689" w:rsidRPr="007E51E0">
        <w:rPr>
          <w:lang w:val="en-IE"/>
        </w:rPr>
        <w:t xml:space="preserve"> </w:t>
      </w:r>
      <w:r w:rsidRPr="007E51E0">
        <w:rPr>
          <w:lang w:val="en-IE"/>
        </w:rPr>
        <w:t xml:space="preserve">accurate and reliable serological </w:t>
      </w:r>
      <w:r w:rsidR="00F63BA8" w:rsidRPr="007E51E0">
        <w:rPr>
          <w:lang w:val="en-IE"/>
        </w:rPr>
        <w:t>method</w:t>
      </w:r>
      <w:r w:rsidRPr="007E51E0">
        <w:rPr>
          <w:lang w:val="en-IE"/>
        </w:rPr>
        <w:t xml:space="preserve"> for diagnostic use</w:t>
      </w:r>
      <w:r w:rsidR="002C03AA" w:rsidRPr="007E51E0">
        <w:rPr>
          <w:lang w:val="en-IE"/>
        </w:rPr>
        <w:t xml:space="preserve"> in glanders</w:t>
      </w:r>
      <w:r w:rsidR="00AB76CC" w:rsidRPr="007E51E0">
        <w:rPr>
          <w:lang w:val="en-IE"/>
        </w:rPr>
        <w:t xml:space="preserve"> in equids</w:t>
      </w:r>
      <w:r w:rsidRPr="007E51E0">
        <w:rPr>
          <w:lang w:val="en-IE"/>
        </w:rPr>
        <w:t>.</w:t>
      </w:r>
      <w:r w:rsidR="00FB4342" w:rsidRPr="007E51E0">
        <w:rPr>
          <w:lang w:val="en-IE"/>
        </w:rPr>
        <w:t xml:space="preserve"> </w:t>
      </w:r>
      <w:r w:rsidR="002C03AA" w:rsidRPr="007E51E0">
        <w:rPr>
          <w:lang w:val="en-IE"/>
        </w:rPr>
        <w:t xml:space="preserve">A rose </w:t>
      </w:r>
      <w:proofErr w:type="spellStart"/>
      <w:r w:rsidR="002C03AA" w:rsidRPr="007E51E0">
        <w:rPr>
          <w:lang w:val="en-IE"/>
        </w:rPr>
        <w:t>bengal</w:t>
      </w:r>
      <w:proofErr w:type="spellEnd"/>
      <w:r w:rsidR="002C03AA" w:rsidRPr="007E51E0">
        <w:rPr>
          <w:lang w:val="en-IE"/>
        </w:rPr>
        <w:t xml:space="preserve"> plate agglutination test </w:t>
      </w:r>
      <w:r w:rsidR="00AB76CC" w:rsidRPr="007E51E0">
        <w:rPr>
          <w:lang w:val="en-IE"/>
        </w:rPr>
        <w:t xml:space="preserve">for glanders </w:t>
      </w:r>
      <w:r w:rsidR="002C03AA" w:rsidRPr="007E51E0">
        <w:rPr>
          <w:lang w:val="en-IE"/>
        </w:rPr>
        <w:t xml:space="preserve">has been developed. </w:t>
      </w:r>
      <w:r w:rsidR="003C4D72" w:rsidRPr="007E51E0">
        <w:rPr>
          <w:lang w:val="en-IE"/>
        </w:rPr>
        <w:t xml:space="preserve">An </w:t>
      </w:r>
      <w:r w:rsidRPr="007E51E0">
        <w:rPr>
          <w:lang w:val="en-IE"/>
        </w:rPr>
        <w:t>immunoblot</w:t>
      </w:r>
      <w:r w:rsidR="002C03AA" w:rsidRPr="007E51E0">
        <w:rPr>
          <w:lang w:val="en-IE"/>
        </w:rPr>
        <w:t xml:space="preserve"> test based on a crude formalin preparation of </w:t>
      </w:r>
      <w:r w:rsidR="002C03AA" w:rsidRPr="007E51E0">
        <w:rPr>
          <w:i w:val="0"/>
          <w:lang w:val="en-IE"/>
        </w:rPr>
        <w:t>B. mallei</w:t>
      </w:r>
      <w:r w:rsidR="002C03AA" w:rsidRPr="007E51E0">
        <w:rPr>
          <w:lang w:val="en-IE"/>
        </w:rPr>
        <w:t xml:space="preserve"> antigens from isolates of different geographical regions is also a sensitive and specific assay. </w:t>
      </w:r>
      <w:r w:rsidR="00AB76CC" w:rsidRPr="007E51E0">
        <w:rPr>
          <w:lang w:val="en-IE"/>
        </w:rPr>
        <w:t>These</w:t>
      </w:r>
      <w:r w:rsidR="00217E46" w:rsidRPr="007E51E0">
        <w:rPr>
          <w:lang w:val="en-IE"/>
        </w:rPr>
        <w:t xml:space="preserve"> tests may also be positive in horses with melioidosis. </w:t>
      </w:r>
      <w:r w:rsidR="00B24315" w:rsidRPr="007E51E0">
        <w:rPr>
          <w:lang w:val="en-IE"/>
        </w:rPr>
        <w:t xml:space="preserve">Enzyme-linked immunosorbent assays </w:t>
      </w:r>
      <w:r w:rsidR="003C4D72" w:rsidRPr="007E51E0">
        <w:rPr>
          <w:lang w:val="en-IE"/>
        </w:rPr>
        <w:t xml:space="preserve">show promise </w:t>
      </w:r>
      <w:r w:rsidR="002C03AA" w:rsidRPr="007E51E0">
        <w:rPr>
          <w:lang w:val="en-IE"/>
        </w:rPr>
        <w:t xml:space="preserve">for </w:t>
      </w:r>
      <w:r w:rsidR="00171462" w:rsidRPr="007E51E0">
        <w:rPr>
          <w:lang w:val="en-IE"/>
        </w:rPr>
        <w:t xml:space="preserve">specific </w:t>
      </w:r>
      <w:r w:rsidR="002C03AA" w:rsidRPr="007E51E0">
        <w:rPr>
          <w:lang w:val="en-IE"/>
        </w:rPr>
        <w:t xml:space="preserve">diagnosis in </w:t>
      </w:r>
      <w:r w:rsidR="00AB76CC" w:rsidRPr="007E51E0">
        <w:rPr>
          <w:lang w:val="en-IE"/>
        </w:rPr>
        <w:t>equids</w:t>
      </w:r>
      <w:r w:rsidR="002C03AA" w:rsidRPr="007E51E0">
        <w:rPr>
          <w:lang w:val="en-IE"/>
        </w:rPr>
        <w:t xml:space="preserve"> </w:t>
      </w:r>
      <w:r w:rsidR="00F63BA8" w:rsidRPr="007E51E0">
        <w:rPr>
          <w:lang w:val="en-IE"/>
        </w:rPr>
        <w:t>once their validation is complete.</w:t>
      </w:r>
      <w:r w:rsidR="00201689" w:rsidRPr="007E51E0">
        <w:rPr>
          <w:lang w:val="en-IE"/>
        </w:rPr>
        <w:t xml:space="preserve"> </w:t>
      </w:r>
    </w:p>
    <w:p w14:paraId="6AF37675" w14:textId="7A754561" w:rsidR="007E56A8" w:rsidRPr="007E51E0" w:rsidRDefault="007E56A8" w:rsidP="0093774D">
      <w:pPr>
        <w:pStyle w:val="sumtexte"/>
        <w:rPr>
          <w:b/>
          <w:lang w:val="en-IE"/>
        </w:rPr>
      </w:pPr>
      <w:proofErr w:type="spellStart"/>
      <w:r w:rsidRPr="007E51E0">
        <w:rPr>
          <w:b/>
          <w:lang w:val="en-IE"/>
        </w:rPr>
        <w:t>Mallein</w:t>
      </w:r>
      <w:proofErr w:type="spellEnd"/>
      <w:r w:rsidRPr="007E51E0">
        <w:rPr>
          <w:b/>
          <w:lang w:val="en-IE"/>
        </w:rPr>
        <w:t xml:space="preserve"> test: </w:t>
      </w:r>
      <w:r w:rsidRPr="007E51E0">
        <w:rPr>
          <w:lang w:val="en-IE"/>
        </w:rPr>
        <w:t xml:space="preserve">The </w:t>
      </w:r>
      <w:proofErr w:type="spellStart"/>
      <w:r w:rsidRPr="007E51E0">
        <w:rPr>
          <w:lang w:val="en-IE"/>
        </w:rPr>
        <w:t>mallein</w:t>
      </w:r>
      <w:proofErr w:type="spellEnd"/>
      <w:r w:rsidRPr="007E51E0">
        <w:rPr>
          <w:lang w:val="en-IE"/>
        </w:rPr>
        <w:t xml:space="preserve"> test is a hypersensitivity </w:t>
      </w:r>
      <w:r w:rsidR="003C4D72" w:rsidRPr="007E51E0">
        <w:rPr>
          <w:lang w:val="en-IE"/>
        </w:rPr>
        <w:t xml:space="preserve">skin </w:t>
      </w:r>
      <w:r w:rsidRPr="007E51E0">
        <w:rPr>
          <w:lang w:val="en-IE"/>
        </w:rPr>
        <w:t xml:space="preserve">test against </w:t>
      </w:r>
      <w:r w:rsidRPr="007E51E0">
        <w:rPr>
          <w:i w:val="0"/>
          <w:lang w:val="en-IE"/>
        </w:rPr>
        <w:t>B. mallei</w:t>
      </w:r>
      <w:r w:rsidRPr="007E51E0">
        <w:rPr>
          <w:lang w:val="en-IE"/>
        </w:rPr>
        <w:t xml:space="preserve">. The test is not generally recommended because of animal welfare concerns, however it can be useful in remote endemic areas where sample transport or proper cooling of samples is not possible. </w:t>
      </w:r>
      <w:proofErr w:type="spellStart"/>
      <w:r w:rsidRPr="007E51E0">
        <w:rPr>
          <w:lang w:val="en-IE"/>
        </w:rPr>
        <w:t>Mallein</w:t>
      </w:r>
      <w:proofErr w:type="spellEnd"/>
      <w:r w:rsidRPr="007E51E0">
        <w:rPr>
          <w:lang w:val="en-IE"/>
        </w:rPr>
        <w:t xml:space="preserve">, a water soluble protein fraction of the organism, is injected </w:t>
      </w:r>
      <w:proofErr w:type="spellStart"/>
      <w:r w:rsidRPr="007E51E0">
        <w:rPr>
          <w:lang w:val="en-IE"/>
        </w:rPr>
        <w:t>intradermo-palpebrally</w:t>
      </w:r>
      <w:proofErr w:type="spellEnd"/>
      <w:r w:rsidRPr="007E51E0">
        <w:rPr>
          <w:lang w:val="en-IE"/>
        </w:rPr>
        <w:t>. In infected animals, the eyelid swells markedly within 1–2 days.</w:t>
      </w:r>
      <w:r w:rsidR="00217E46" w:rsidRPr="007E51E0">
        <w:rPr>
          <w:lang w:val="en-IE"/>
        </w:rPr>
        <w:t xml:space="preserve"> This test may also be positive in horses with melioidosis.</w:t>
      </w:r>
    </w:p>
    <w:p w14:paraId="19146057" w14:textId="2B749E10" w:rsidR="007E56A8" w:rsidRPr="007E51E0" w:rsidRDefault="007E56A8" w:rsidP="00377987">
      <w:pPr>
        <w:pStyle w:val="sumtextelastpara"/>
        <w:rPr>
          <w:lang w:val="en-IE"/>
        </w:rPr>
      </w:pPr>
      <w:r w:rsidRPr="007E51E0">
        <w:rPr>
          <w:b/>
          <w:lang w:val="en-IE"/>
        </w:rPr>
        <w:t>Requirements for vaccines and diagnostic biologicals:</w:t>
      </w:r>
      <w:r w:rsidRPr="007E51E0">
        <w:rPr>
          <w:lang w:val="en-IE"/>
        </w:rPr>
        <w:t xml:space="preserve"> There are no vaccines. </w:t>
      </w:r>
      <w:proofErr w:type="spellStart"/>
      <w:r w:rsidRPr="007E51E0">
        <w:rPr>
          <w:lang w:val="en-IE"/>
        </w:rPr>
        <w:t>Mallein</w:t>
      </w:r>
      <w:proofErr w:type="spellEnd"/>
      <w:r w:rsidRPr="007E51E0">
        <w:rPr>
          <w:lang w:val="en-IE"/>
        </w:rPr>
        <w:t xml:space="preserve"> purified protein derivative is available commercially. </w:t>
      </w:r>
    </w:p>
    <w:p w14:paraId="3DC0AA92" w14:textId="348665B4" w:rsidR="007E56A8" w:rsidRPr="007E51E0" w:rsidRDefault="007E56A8" w:rsidP="008000B1">
      <w:pPr>
        <w:pStyle w:val="A0"/>
        <w:keepNext/>
        <w:rPr>
          <w:lang w:val="en-IE"/>
        </w:rPr>
      </w:pPr>
      <w:r w:rsidRPr="007E51E0">
        <w:rPr>
          <w:lang w:val="en-IE"/>
        </w:rPr>
        <w:t>A.  introduction</w:t>
      </w:r>
    </w:p>
    <w:p w14:paraId="235C6906" w14:textId="225F0CEA" w:rsidR="007E56A8" w:rsidRPr="007E51E0" w:rsidRDefault="007E56A8" w:rsidP="004E1C94">
      <w:pPr>
        <w:pStyle w:val="paraA0"/>
        <w:rPr>
          <w:lang w:val="en-IE"/>
        </w:rPr>
      </w:pPr>
      <w:r w:rsidRPr="007E51E0">
        <w:rPr>
          <w:lang w:val="en-IE"/>
        </w:rPr>
        <w:t xml:space="preserve">Glanders is a bacterial disease of perissodactyls or odd-toed ungulates. It has zoonotic potential and has been known since ancient times. It is caused by the bacterium </w:t>
      </w:r>
      <w:proofErr w:type="spellStart"/>
      <w:r w:rsidRPr="007E51E0">
        <w:rPr>
          <w:i/>
          <w:iCs/>
          <w:lang w:val="en-IE"/>
        </w:rPr>
        <w:t>Burkholderia</w:t>
      </w:r>
      <w:proofErr w:type="spellEnd"/>
      <w:r w:rsidRPr="007E51E0">
        <w:rPr>
          <w:i/>
          <w:iCs/>
          <w:lang w:val="en-IE"/>
        </w:rPr>
        <w:t xml:space="preserve"> mallei</w:t>
      </w:r>
      <w:r w:rsidRPr="007E51E0">
        <w:rPr>
          <w:lang w:val="en-IE"/>
        </w:rPr>
        <w:t xml:space="preserve"> (</w:t>
      </w:r>
      <w:proofErr w:type="spellStart"/>
      <w:r w:rsidRPr="007E51E0">
        <w:rPr>
          <w:lang w:val="en-IE"/>
        </w:rPr>
        <w:t>Yabuuchi</w:t>
      </w:r>
      <w:proofErr w:type="spellEnd"/>
      <w:r w:rsidRPr="007E51E0">
        <w:rPr>
          <w:lang w:val="en-IE"/>
        </w:rPr>
        <w:t xml:space="preserve"> </w:t>
      </w:r>
      <w:r w:rsidRPr="007E51E0">
        <w:rPr>
          <w:i/>
          <w:lang w:val="en-IE"/>
        </w:rPr>
        <w:t>et al.</w:t>
      </w:r>
      <w:r w:rsidRPr="007E51E0">
        <w:rPr>
          <w:lang w:val="en-IE"/>
        </w:rPr>
        <w:t xml:space="preserve">, 1992) and has been </w:t>
      </w:r>
      <w:r w:rsidR="00F40D51" w:rsidRPr="007E51E0">
        <w:rPr>
          <w:lang w:val="en-IE"/>
        </w:rPr>
        <w:t xml:space="preserve">variously </w:t>
      </w:r>
      <w:r w:rsidRPr="007E51E0">
        <w:rPr>
          <w:lang w:val="en-IE"/>
        </w:rPr>
        <w:t xml:space="preserve">classified in the past as </w:t>
      </w:r>
      <w:r w:rsidR="00F40D51" w:rsidRPr="007E51E0">
        <w:rPr>
          <w:i/>
          <w:iCs/>
          <w:lang w:val="en-IE"/>
        </w:rPr>
        <w:t xml:space="preserve">Pseudomonas, </w:t>
      </w:r>
      <w:proofErr w:type="spellStart"/>
      <w:r w:rsidRPr="007E51E0">
        <w:rPr>
          <w:i/>
          <w:iCs/>
          <w:lang w:val="en-IE"/>
        </w:rPr>
        <w:t>Pfeifferella</w:t>
      </w:r>
      <w:proofErr w:type="spellEnd"/>
      <w:r w:rsidRPr="007E51E0">
        <w:rPr>
          <w:lang w:val="en-IE"/>
        </w:rPr>
        <w:t xml:space="preserve">, </w:t>
      </w:r>
      <w:proofErr w:type="spellStart"/>
      <w:r w:rsidRPr="007E51E0">
        <w:rPr>
          <w:i/>
          <w:iCs/>
          <w:lang w:val="en-IE"/>
        </w:rPr>
        <w:t>Loefflerella</w:t>
      </w:r>
      <w:proofErr w:type="spellEnd"/>
      <w:r w:rsidRPr="007E51E0">
        <w:rPr>
          <w:i/>
          <w:iCs/>
          <w:lang w:val="en-IE"/>
        </w:rPr>
        <w:t xml:space="preserve">, </w:t>
      </w:r>
      <w:proofErr w:type="spellStart"/>
      <w:r w:rsidRPr="007E51E0">
        <w:rPr>
          <w:i/>
          <w:iCs/>
          <w:lang w:val="en-IE"/>
        </w:rPr>
        <w:t>Malleomyces</w:t>
      </w:r>
      <w:proofErr w:type="spellEnd"/>
      <w:r w:rsidRPr="007E51E0">
        <w:rPr>
          <w:lang w:val="en-IE"/>
        </w:rPr>
        <w:t xml:space="preserve"> or </w:t>
      </w:r>
      <w:r w:rsidRPr="007E51E0">
        <w:rPr>
          <w:i/>
          <w:iCs/>
          <w:lang w:val="en-IE"/>
        </w:rPr>
        <w:t>Actinobacillus</w:t>
      </w:r>
      <w:r w:rsidRPr="007E51E0">
        <w:rPr>
          <w:lang w:val="en-IE"/>
        </w:rPr>
        <w:t xml:space="preserve">. </w:t>
      </w:r>
      <w:r w:rsidR="00E1049D" w:rsidRPr="007E51E0">
        <w:rPr>
          <w:lang w:val="en-IE"/>
        </w:rPr>
        <w:t>It is a serious contagious disease in equids and outbreaks</w:t>
      </w:r>
      <w:r w:rsidR="00201689" w:rsidRPr="007E51E0">
        <w:rPr>
          <w:lang w:val="en-IE"/>
        </w:rPr>
        <w:t xml:space="preserve"> </w:t>
      </w:r>
      <w:r w:rsidRPr="007E51E0">
        <w:rPr>
          <w:lang w:val="en-IE"/>
        </w:rPr>
        <w:t>may</w:t>
      </w:r>
      <w:r w:rsidR="00E1049D" w:rsidRPr="007E51E0">
        <w:rPr>
          <w:lang w:val="en-IE"/>
        </w:rPr>
        <w:t xml:space="preserve"> also</w:t>
      </w:r>
      <w:r w:rsidRPr="007E51E0">
        <w:rPr>
          <w:lang w:val="en-IE"/>
        </w:rPr>
        <w:t xml:space="preserve"> occur in feli</w:t>
      </w:r>
      <w:r w:rsidR="00E1049D" w:rsidRPr="007E51E0">
        <w:rPr>
          <w:lang w:val="en-IE"/>
        </w:rPr>
        <w:t>d</w:t>
      </w:r>
      <w:r w:rsidRPr="007E51E0">
        <w:rPr>
          <w:lang w:val="en-IE"/>
        </w:rPr>
        <w:t xml:space="preserve">s living in the wild or in zoological </w:t>
      </w:r>
      <w:r w:rsidRPr="007E51E0">
        <w:rPr>
          <w:lang w:val="en-IE"/>
        </w:rPr>
        <w:lastRenderedPageBreak/>
        <w:t>gardens. Susceptibility to glanders has been prove</w:t>
      </w:r>
      <w:r w:rsidR="00217E46" w:rsidRPr="007E51E0">
        <w:rPr>
          <w:lang w:val="en-IE"/>
        </w:rPr>
        <w:t>n</w:t>
      </w:r>
      <w:r w:rsidRPr="007E51E0">
        <w:rPr>
          <w:lang w:val="en-IE"/>
        </w:rPr>
        <w:t xml:space="preserve"> in camels, bears, wolves and dogs. Carnivores may become infected by eating infected meat, but cattle and pigs are resistant. Small ruminants may be infected if kept in close contact with glanderous horses (Wittig </w:t>
      </w:r>
      <w:r w:rsidRPr="007E51E0">
        <w:rPr>
          <w:i/>
          <w:lang w:val="en-IE"/>
        </w:rPr>
        <w:t>et al.</w:t>
      </w:r>
      <w:r w:rsidRPr="007E51E0">
        <w:rPr>
          <w:lang w:val="en-IE"/>
        </w:rPr>
        <w:t xml:space="preserve">, 2006). </w:t>
      </w:r>
      <w:r w:rsidR="00D678C4" w:rsidRPr="007E51E0">
        <w:rPr>
          <w:lang w:val="en-IE"/>
        </w:rPr>
        <w:t>G</w:t>
      </w:r>
      <w:r w:rsidRPr="007E51E0">
        <w:rPr>
          <w:lang w:val="en-IE"/>
        </w:rPr>
        <w:t>landers generally takes an</w:t>
      </w:r>
      <w:r w:rsidR="00201689" w:rsidRPr="007E51E0">
        <w:rPr>
          <w:lang w:val="en-IE"/>
        </w:rPr>
        <w:t xml:space="preserve"> </w:t>
      </w:r>
      <w:r w:rsidRPr="007E51E0">
        <w:rPr>
          <w:lang w:val="en-IE"/>
        </w:rPr>
        <w:t xml:space="preserve">acute form in donkeys and mules with high fever and respiratory signs (swollen nostrils, dyspnoea, and pneumonia) and death occurs within a few days. In horses, glanders generally takes a more chronic course and horses may survive for several years. Chronic and subclinical ‘occult’ cases are </w:t>
      </w:r>
      <w:r w:rsidR="00242416" w:rsidRPr="007E51E0">
        <w:rPr>
          <w:lang w:val="en-IE"/>
        </w:rPr>
        <w:t xml:space="preserve">potential </w:t>
      </w:r>
      <w:r w:rsidRPr="007E51E0">
        <w:rPr>
          <w:lang w:val="en-IE"/>
        </w:rPr>
        <w:t xml:space="preserve">sources of infection due to the permanent or intermittent shedding of bacteria (Wittig </w:t>
      </w:r>
      <w:r w:rsidRPr="007E51E0">
        <w:rPr>
          <w:i/>
          <w:lang w:val="en-IE"/>
        </w:rPr>
        <w:t>et al.</w:t>
      </w:r>
      <w:r w:rsidRPr="007E51E0">
        <w:rPr>
          <w:lang w:val="en-IE"/>
        </w:rPr>
        <w:t>, 2006).</w:t>
      </w:r>
      <w:r w:rsidR="00726E2C" w:rsidRPr="007E51E0">
        <w:rPr>
          <w:lang w:val="en-IE"/>
        </w:rPr>
        <w:t xml:space="preserve"> </w:t>
      </w:r>
      <w:r w:rsidR="001D4491" w:rsidRPr="007E51E0">
        <w:rPr>
          <w:lang w:val="en-IE"/>
        </w:rPr>
        <w:t>Kh</w:t>
      </w:r>
      <w:r w:rsidR="00166685" w:rsidRPr="007E51E0">
        <w:rPr>
          <w:lang w:val="en-IE"/>
        </w:rPr>
        <w:t>a</w:t>
      </w:r>
      <w:r w:rsidR="001D4491" w:rsidRPr="007E51E0">
        <w:rPr>
          <w:lang w:val="en-IE"/>
        </w:rPr>
        <w:t xml:space="preserve">n </w:t>
      </w:r>
      <w:r w:rsidR="001D4491" w:rsidRPr="007E51E0">
        <w:rPr>
          <w:i/>
          <w:lang w:val="en-IE"/>
        </w:rPr>
        <w:t>et al.</w:t>
      </w:r>
      <w:r w:rsidR="001D4491" w:rsidRPr="007E51E0">
        <w:rPr>
          <w:lang w:val="en-IE"/>
        </w:rPr>
        <w:t xml:space="preserve"> (201</w:t>
      </w:r>
      <w:r w:rsidR="00166685">
        <w:rPr>
          <w:lang w:val="en-IE"/>
        </w:rPr>
        <w:t>3</w:t>
      </w:r>
      <w:r w:rsidR="001D4491" w:rsidRPr="007E51E0">
        <w:rPr>
          <w:lang w:val="en-IE"/>
        </w:rPr>
        <w:t>) reviewed the disease, its epidemiology, diagnosis and control.</w:t>
      </w:r>
    </w:p>
    <w:p w14:paraId="2B35D7AF" w14:textId="16036992" w:rsidR="007E56A8" w:rsidRPr="007E51E0" w:rsidRDefault="007E56A8" w:rsidP="004E1C94">
      <w:pPr>
        <w:pStyle w:val="paraA0"/>
        <w:rPr>
          <w:lang w:val="en-IE"/>
        </w:rPr>
      </w:pPr>
      <w:r w:rsidRPr="007E51E0">
        <w:rPr>
          <w:lang w:val="en-IE"/>
        </w:rPr>
        <w:t xml:space="preserve">In horses, inflammatory </w:t>
      </w:r>
      <w:r w:rsidR="00AF13A7" w:rsidRPr="007E51E0">
        <w:rPr>
          <w:lang w:val="en-IE"/>
        </w:rPr>
        <w:t>pust</w:t>
      </w:r>
      <w:r w:rsidRPr="007E51E0">
        <w:rPr>
          <w:lang w:val="en-IE"/>
        </w:rPr>
        <w:t xml:space="preserve">ules and ulcers develop in the nasal </w:t>
      </w:r>
      <w:r w:rsidR="00AF13A7" w:rsidRPr="007E51E0">
        <w:rPr>
          <w:lang w:val="en-IE"/>
        </w:rPr>
        <w:t xml:space="preserve">conchae </w:t>
      </w:r>
      <w:r w:rsidRPr="007E51E0">
        <w:rPr>
          <w:lang w:val="en-IE"/>
        </w:rPr>
        <w:t>and</w:t>
      </w:r>
      <w:r w:rsidR="00AF13A7" w:rsidRPr="007E51E0">
        <w:rPr>
          <w:lang w:val="en-IE"/>
        </w:rPr>
        <w:t xml:space="preserve"> nasal </w:t>
      </w:r>
      <w:proofErr w:type="spellStart"/>
      <w:r w:rsidR="00AF13A7" w:rsidRPr="007E51E0">
        <w:rPr>
          <w:lang w:val="en-IE"/>
        </w:rPr>
        <w:t>septae</w:t>
      </w:r>
      <w:proofErr w:type="spellEnd"/>
      <w:r w:rsidR="00AF13A7" w:rsidRPr="007E51E0">
        <w:rPr>
          <w:lang w:val="en-IE"/>
        </w:rPr>
        <w:t>, which</w:t>
      </w:r>
      <w:r w:rsidRPr="007E51E0">
        <w:rPr>
          <w:lang w:val="en-IE"/>
        </w:rPr>
        <w:t xml:space="preserve"> give rise to a sticky yellow discharge, accompanied by enlarged firm submaxillary lymph nodes. Stellate scarring follows upon healing of the ulcers. The formation of </w:t>
      </w:r>
      <w:r w:rsidR="00AF13A7" w:rsidRPr="007E51E0">
        <w:rPr>
          <w:lang w:val="en-IE"/>
        </w:rPr>
        <w:t xml:space="preserve">reddish </w:t>
      </w:r>
      <w:r w:rsidRPr="007E51E0">
        <w:rPr>
          <w:lang w:val="en-IE"/>
        </w:rPr>
        <w:t>nodular abscesses</w:t>
      </w:r>
      <w:r w:rsidR="00AF13A7" w:rsidRPr="007E51E0">
        <w:rPr>
          <w:lang w:val="en-IE"/>
        </w:rPr>
        <w:t xml:space="preserve"> with a central grey necrotic zone</w:t>
      </w:r>
      <w:r w:rsidRPr="007E51E0">
        <w:rPr>
          <w:lang w:val="en-IE"/>
        </w:rPr>
        <w:t xml:space="preserve"> in the lungs is accompanied by progressive debility, febrile episodes, coughing and dyspnoea. Diarrhoea and polyuria can also occur. In the skin form (‘farcy’), the lymphatics are enlarged and 0.5–2.5 cm sized nodular abscesses (‘buds’) develop, which ulcerate and discharge yellow oily pus.</w:t>
      </w:r>
      <w:r w:rsidR="00AF13A7" w:rsidRPr="007E51E0">
        <w:rPr>
          <w:lang w:val="en-IE"/>
        </w:rPr>
        <w:t xml:space="preserve"> Dry ulcers may also develop.</w:t>
      </w:r>
      <w:r w:rsidRPr="007E51E0">
        <w:rPr>
          <w:lang w:val="en-IE"/>
        </w:rPr>
        <w:t xml:space="preserve"> </w:t>
      </w:r>
      <w:r w:rsidR="005E667B" w:rsidRPr="007E51E0">
        <w:rPr>
          <w:lang w:val="en-IE"/>
        </w:rPr>
        <w:t>Py</w:t>
      </w:r>
      <w:r w:rsidR="00AF13A7" w:rsidRPr="007E51E0">
        <w:rPr>
          <w:lang w:val="en-IE"/>
        </w:rPr>
        <w:t>ogranulomatous n</w:t>
      </w:r>
      <w:r w:rsidRPr="007E51E0">
        <w:rPr>
          <w:lang w:val="en-IE"/>
        </w:rPr>
        <w:t>odules are</w:t>
      </w:r>
      <w:r w:rsidR="00201689" w:rsidRPr="007E51E0">
        <w:rPr>
          <w:lang w:val="en-IE"/>
        </w:rPr>
        <w:t xml:space="preserve"> </w:t>
      </w:r>
      <w:r w:rsidR="00AF13A7" w:rsidRPr="007E51E0">
        <w:rPr>
          <w:lang w:val="en-IE"/>
        </w:rPr>
        <w:t xml:space="preserve">sometimes </w:t>
      </w:r>
      <w:r w:rsidRPr="007E51E0">
        <w:rPr>
          <w:lang w:val="en-IE"/>
        </w:rPr>
        <w:t xml:space="preserve">found in the liver and spleen. Discharges from the respiratory tract and skin are infective, and transmission between animals, which is facilitated by close contact, inhalation, ingestion of contaminated material (e.g. from infected feed and water troughs), or by inoculation (e.g. via a harness) is common. The incubation period can range from a few days to many months (Wittig </w:t>
      </w:r>
      <w:r w:rsidRPr="007E51E0">
        <w:rPr>
          <w:i/>
          <w:lang w:val="en-IE"/>
        </w:rPr>
        <w:t>et al.</w:t>
      </w:r>
      <w:r w:rsidRPr="007E51E0">
        <w:rPr>
          <w:lang w:val="en-IE"/>
        </w:rPr>
        <w:t>, 2006).</w:t>
      </w:r>
    </w:p>
    <w:p w14:paraId="4BA01982" w14:textId="79140D8B" w:rsidR="007E56A8" w:rsidRPr="007E51E0" w:rsidRDefault="007E56A8" w:rsidP="008179E7">
      <w:pPr>
        <w:pStyle w:val="paraA0"/>
        <w:rPr>
          <w:i/>
          <w:iCs/>
          <w:lang w:val="en-IE"/>
        </w:rPr>
      </w:pPr>
      <w:r w:rsidRPr="007E51E0">
        <w:rPr>
          <w:lang w:val="en-IE"/>
        </w:rPr>
        <w:t>Glanders is transmissible to humans by direct contact with diseased animals or with infected</w:t>
      </w:r>
      <w:r w:rsidR="00F51188" w:rsidRPr="007E51E0">
        <w:rPr>
          <w:lang w:val="en-IE"/>
        </w:rPr>
        <w:t xml:space="preserve"> or </w:t>
      </w:r>
      <w:r w:rsidRPr="007E51E0">
        <w:rPr>
          <w:lang w:val="en-IE"/>
        </w:rPr>
        <w:t xml:space="preserve">contaminated material. In the untreated acute disease, the mortality rate can reach 95% within 3 weeks (Neubauer </w:t>
      </w:r>
      <w:r w:rsidRPr="007E51E0">
        <w:rPr>
          <w:i/>
          <w:lang w:val="en-IE"/>
        </w:rPr>
        <w:t>et al.</w:t>
      </w:r>
      <w:r w:rsidRPr="007E51E0">
        <w:rPr>
          <w:lang w:val="en-IE"/>
        </w:rPr>
        <w:t xml:space="preserve">, 1997). However, survival is possible if the infected person is treated early and aggressively with multiple systemic antibiotic therapies. A chronic form with abscessation can occur (Neubauer </w:t>
      </w:r>
      <w:r w:rsidRPr="007E51E0">
        <w:rPr>
          <w:i/>
          <w:lang w:val="en-IE"/>
        </w:rPr>
        <w:t>et al.</w:t>
      </w:r>
      <w:r w:rsidRPr="007E51E0">
        <w:rPr>
          <w:lang w:val="en-IE"/>
        </w:rPr>
        <w:t xml:space="preserve">, 1997). </w:t>
      </w:r>
    </w:p>
    <w:p w14:paraId="61118056" w14:textId="77755A73" w:rsidR="002C4F5A" w:rsidRPr="007E51E0" w:rsidRDefault="007E56A8" w:rsidP="002C4F5A">
      <w:pPr>
        <w:pStyle w:val="paraA0"/>
        <w:rPr>
          <w:lang w:val="en-IE"/>
        </w:rPr>
      </w:pPr>
      <w:r w:rsidRPr="007E51E0">
        <w:rPr>
          <w:lang w:val="en-IE"/>
        </w:rPr>
        <w:t>Glanders has been eradicated from many countries by statutory testing, culling</w:t>
      </w:r>
      <w:r w:rsidR="00201689" w:rsidRPr="007E51E0">
        <w:rPr>
          <w:lang w:val="en-IE"/>
        </w:rPr>
        <w:t xml:space="preserve"> </w:t>
      </w:r>
      <w:r w:rsidRPr="007E51E0">
        <w:rPr>
          <w:lang w:val="en-IE"/>
        </w:rPr>
        <w:t>of infected animals, and import restrictions. It persists in numerous</w:t>
      </w:r>
      <w:r w:rsidR="00201689" w:rsidRPr="007E51E0">
        <w:rPr>
          <w:lang w:val="en-IE"/>
        </w:rPr>
        <w:t xml:space="preserve"> </w:t>
      </w:r>
      <w:r w:rsidRPr="007E51E0">
        <w:rPr>
          <w:lang w:val="en-IE"/>
        </w:rPr>
        <w:t xml:space="preserve">Asian, African and South American countries and can be considered a re-emerging disease. Glanders can be introduced into glanders-free areas by </w:t>
      </w:r>
      <w:r w:rsidR="0043331C" w:rsidRPr="007E51E0">
        <w:rPr>
          <w:lang w:val="en-IE"/>
        </w:rPr>
        <w:t>movement of</w:t>
      </w:r>
      <w:r w:rsidRPr="007E51E0">
        <w:rPr>
          <w:lang w:val="en-IE"/>
        </w:rPr>
        <w:t xml:space="preserve"> equids (Neubauer </w:t>
      </w:r>
      <w:r w:rsidRPr="007E51E0">
        <w:rPr>
          <w:i/>
          <w:lang w:val="en-IE"/>
        </w:rPr>
        <w:t>et al.</w:t>
      </w:r>
      <w:r w:rsidRPr="007E51E0">
        <w:rPr>
          <w:lang w:val="en-IE"/>
        </w:rPr>
        <w:t>, 2005).</w:t>
      </w:r>
      <w:r w:rsidR="002C4F5A" w:rsidRPr="007E51E0">
        <w:rPr>
          <w:lang w:val="en-IE"/>
        </w:rPr>
        <w:t xml:space="preserve"> </w:t>
      </w:r>
    </w:p>
    <w:p w14:paraId="2C4E0C03" w14:textId="310F3844" w:rsidR="002C4F5A" w:rsidRPr="007E51E0" w:rsidRDefault="00217E46" w:rsidP="00DE2935">
      <w:pPr>
        <w:pStyle w:val="paraA0"/>
        <w:rPr>
          <w:lang w:val="en-IE"/>
        </w:rPr>
      </w:pPr>
      <w:proofErr w:type="spellStart"/>
      <w:r w:rsidRPr="007E51E0">
        <w:rPr>
          <w:i/>
          <w:lang w:val="en-IE" w:eastAsia="de-DE"/>
        </w:rPr>
        <w:t>Burkholderia</w:t>
      </w:r>
      <w:proofErr w:type="spellEnd"/>
      <w:r w:rsidRPr="007E51E0">
        <w:rPr>
          <w:i/>
          <w:lang w:val="en-IE" w:eastAsia="de-DE"/>
        </w:rPr>
        <w:t xml:space="preserve"> </w:t>
      </w:r>
      <w:proofErr w:type="spellStart"/>
      <w:r w:rsidRPr="007E51E0">
        <w:rPr>
          <w:i/>
          <w:lang w:val="en-IE" w:eastAsia="de-DE"/>
        </w:rPr>
        <w:t>pseudomallei</w:t>
      </w:r>
      <w:proofErr w:type="spellEnd"/>
      <w:r w:rsidRPr="007E51E0">
        <w:rPr>
          <w:lang w:val="en-IE" w:eastAsia="de-DE"/>
        </w:rPr>
        <w:t xml:space="preserve"> is the causative agent of melioidosis and o</w:t>
      </w:r>
      <w:r w:rsidR="00044195" w:rsidRPr="007E51E0">
        <w:rPr>
          <w:lang w:val="en-IE" w:eastAsia="de-DE"/>
        </w:rPr>
        <w:t>riginat</w:t>
      </w:r>
      <w:r w:rsidR="00F40D51" w:rsidRPr="007E51E0">
        <w:rPr>
          <w:lang w:val="en-IE" w:eastAsia="de-DE"/>
        </w:rPr>
        <w:t>es</w:t>
      </w:r>
      <w:r w:rsidR="00044195" w:rsidRPr="007E51E0">
        <w:rPr>
          <w:lang w:val="en-IE" w:eastAsia="de-DE"/>
        </w:rPr>
        <w:t xml:space="preserve"> from </w:t>
      </w:r>
      <w:r w:rsidR="00B87389" w:rsidRPr="007E51E0">
        <w:rPr>
          <w:lang w:val="en-IE" w:eastAsia="de-DE"/>
        </w:rPr>
        <w:t xml:space="preserve">South-East </w:t>
      </w:r>
      <w:r w:rsidR="00044195" w:rsidRPr="007E51E0">
        <w:rPr>
          <w:lang w:val="en-IE" w:eastAsia="de-DE"/>
        </w:rPr>
        <w:t>Asia</w:t>
      </w:r>
      <w:r w:rsidR="00171462" w:rsidRPr="007E51E0">
        <w:rPr>
          <w:lang w:val="en-IE" w:eastAsia="de-DE"/>
        </w:rPr>
        <w:t xml:space="preserve"> (areas within latitudes 20°N and 20°S) (</w:t>
      </w:r>
      <w:proofErr w:type="spellStart"/>
      <w:r w:rsidR="00171462" w:rsidRPr="007E51E0">
        <w:rPr>
          <w:lang w:val="en-IE"/>
        </w:rPr>
        <w:t>Limmathurotsakul</w:t>
      </w:r>
      <w:proofErr w:type="spellEnd"/>
      <w:r w:rsidR="00171462" w:rsidRPr="007E51E0">
        <w:rPr>
          <w:lang w:val="en-IE"/>
        </w:rPr>
        <w:t xml:space="preserve"> </w:t>
      </w:r>
      <w:r w:rsidR="002D09EA" w:rsidRPr="007E51E0">
        <w:rPr>
          <w:i/>
          <w:lang w:val="en-IE"/>
        </w:rPr>
        <w:t>et al</w:t>
      </w:r>
      <w:r w:rsidR="00171462" w:rsidRPr="007E51E0">
        <w:rPr>
          <w:i/>
          <w:lang w:val="en-IE"/>
        </w:rPr>
        <w:t>.,</w:t>
      </w:r>
      <w:r w:rsidR="00171462" w:rsidRPr="007E51E0">
        <w:rPr>
          <w:lang w:val="en-IE"/>
        </w:rPr>
        <w:t xml:space="preserve"> 2016)</w:t>
      </w:r>
      <w:r w:rsidRPr="007E51E0">
        <w:rPr>
          <w:lang w:val="en-IE" w:eastAsia="de-DE"/>
        </w:rPr>
        <w:t xml:space="preserve">. </w:t>
      </w:r>
      <w:r w:rsidR="00A50ACB" w:rsidRPr="007E51E0">
        <w:rPr>
          <w:lang w:val="en-IE" w:eastAsia="de-DE"/>
        </w:rPr>
        <w:t>It is an important soil bacterium</w:t>
      </w:r>
      <w:r w:rsidR="00F40D51" w:rsidRPr="007E51E0">
        <w:rPr>
          <w:lang w:val="en-IE" w:eastAsia="de-DE"/>
        </w:rPr>
        <w:t>,</w:t>
      </w:r>
      <w:r w:rsidR="00A50ACB" w:rsidRPr="007E51E0">
        <w:rPr>
          <w:lang w:val="en-IE" w:eastAsia="de-DE"/>
        </w:rPr>
        <w:t xml:space="preserve"> denitrif</w:t>
      </w:r>
      <w:r w:rsidR="006E4C41" w:rsidRPr="007E51E0">
        <w:rPr>
          <w:lang w:val="en-IE" w:eastAsia="de-DE"/>
        </w:rPr>
        <w:t>y</w:t>
      </w:r>
      <w:r w:rsidR="00A50ACB" w:rsidRPr="007E51E0">
        <w:rPr>
          <w:lang w:val="en-IE" w:eastAsia="de-DE"/>
        </w:rPr>
        <w:t xml:space="preserve">ing organic materials and </w:t>
      </w:r>
      <w:r w:rsidR="00F40D51" w:rsidRPr="007E51E0">
        <w:rPr>
          <w:lang w:val="en-IE" w:eastAsia="de-DE"/>
        </w:rPr>
        <w:t>is</w:t>
      </w:r>
      <w:r w:rsidR="00A50ACB" w:rsidRPr="007E51E0">
        <w:rPr>
          <w:lang w:val="en-IE" w:eastAsia="de-DE"/>
        </w:rPr>
        <w:t xml:space="preserve"> ubiquitous in those areas. Thus, </w:t>
      </w:r>
      <w:r w:rsidR="00723A8B" w:rsidRPr="007E51E0">
        <w:rPr>
          <w:i/>
          <w:lang w:val="en-IE"/>
        </w:rPr>
        <w:t xml:space="preserve">B. </w:t>
      </w:r>
      <w:proofErr w:type="spellStart"/>
      <w:r w:rsidR="00723A8B" w:rsidRPr="007E51E0">
        <w:rPr>
          <w:i/>
          <w:lang w:val="en-IE"/>
        </w:rPr>
        <w:t>pseudomall</w:t>
      </w:r>
      <w:r w:rsidR="00026B4B" w:rsidRPr="007E51E0">
        <w:rPr>
          <w:i/>
          <w:lang w:val="en-IE"/>
        </w:rPr>
        <w:t>ei</w:t>
      </w:r>
      <w:proofErr w:type="spellEnd"/>
      <w:r w:rsidR="00026B4B" w:rsidRPr="007E51E0">
        <w:rPr>
          <w:lang w:val="en-IE"/>
        </w:rPr>
        <w:t xml:space="preserve"> is stable in the environment. It is also </w:t>
      </w:r>
      <w:r w:rsidR="00723A8B" w:rsidRPr="007E51E0">
        <w:rPr>
          <w:lang w:val="en-IE"/>
        </w:rPr>
        <w:t>naturally resistant to various antibiotics</w:t>
      </w:r>
      <w:r w:rsidR="00026B4B" w:rsidRPr="007E51E0">
        <w:rPr>
          <w:lang w:val="en-IE"/>
        </w:rPr>
        <w:t xml:space="preserve"> and disinfectants (</w:t>
      </w:r>
      <w:r w:rsidR="002D09EA" w:rsidRPr="007E51E0">
        <w:rPr>
          <w:lang w:val="en-IE"/>
        </w:rPr>
        <w:t xml:space="preserve">Currie, 2015; O’Connell </w:t>
      </w:r>
      <w:r w:rsidR="002D09EA" w:rsidRPr="007E51E0">
        <w:rPr>
          <w:i/>
          <w:lang w:val="en-IE"/>
        </w:rPr>
        <w:t>et al.,</w:t>
      </w:r>
      <w:r w:rsidR="002D09EA" w:rsidRPr="007E51E0">
        <w:rPr>
          <w:lang w:val="en-IE"/>
        </w:rPr>
        <w:t xml:space="preserve"> 2009; </w:t>
      </w:r>
      <w:r w:rsidR="00026B4B" w:rsidRPr="007E51E0">
        <w:rPr>
          <w:lang w:val="en-IE"/>
        </w:rPr>
        <w:t xml:space="preserve">Sprague </w:t>
      </w:r>
      <w:r w:rsidR="002D09EA" w:rsidRPr="007E51E0">
        <w:rPr>
          <w:lang w:val="en-IE"/>
        </w:rPr>
        <w:t>&amp;</w:t>
      </w:r>
      <w:r w:rsidR="00026B4B" w:rsidRPr="007E51E0">
        <w:rPr>
          <w:lang w:val="en-IE"/>
        </w:rPr>
        <w:t xml:space="preserve"> Neubauer, 2004)</w:t>
      </w:r>
      <w:r w:rsidR="00723A8B" w:rsidRPr="007E51E0">
        <w:rPr>
          <w:lang w:val="en-IE"/>
        </w:rPr>
        <w:t xml:space="preserve">. </w:t>
      </w:r>
      <w:proofErr w:type="spellStart"/>
      <w:r w:rsidR="002D09EA" w:rsidRPr="007E51E0">
        <w:rPr>
          <w:i/>
          <w:lang w:val="en-IE" w:eastAsia="de-DE"/>
        </w:rPr>
        <w:t>Burkholderia</w:t>
      </w:r>
      <w:proofErr w:type="spellEnd"/>
      <w:r w:rsidR="002D09EA" w:rsidRPr="007E51E0">
        <w:rPr>
          <w:i/>
          <w:lang w:val="en-IE" w:eastAsia="de-DE"/>
        </w:rPr>
        <w:t xml:space="preserve"> </w:t>
      </w:r>
      <w:proofErr w:type="spellStart"/>
      <w:r w:rsidR="00723A8B" w:rsidRPr="007E51E0">
        <w:rPr>
          <w:rFonts w:cs="AdvTimes-i"/>
          <w:i/>
          <w:lang w:val="en-IE" w:eastAsia="de-DE"/>
        </w:rPr>
        <w:t>pseudomallei</w:t>
      </w:r>
      <w:proofErr w:type="spellEnd"/>
      <w:r w:rsidR="00723A8B" w:rsidRPr="007E51E0">
        <w:rPr>
          <w:rFonts w:cs="AdvTimes-i"/>
          <w:lang w:val="en-IE" w:eastAsia="de-DE"/>
        </w:rPr>
        <w:t xml:space="preserve"> </w:t>
      </w:r>
      <w:r w:rsidR="00723A8B" w:rsidRPr="007E51E0">
        <w:rPr>
          <w:rFonts w:cs="AdvTimes"/>
          <w:lang w:val="en-IE" w:eastAsia="de-DE"/>
        </w:rPr>
        <w:t>has an extremely broad host range</w:t>
      </w:r>
      <w:r w:rsidR="00AB76CC" w:rsidRPr="007E51E0">
        <w:rPr>
          <w:rFonts w:cs="AdvTimes"/>
          <w:lang w:val="en-IE" w:eastAsia="de-DE"/>
        </w:rPr>
        <w:t xml:space="preserve"> including wildlife, farm animals and humans</w:t>
      </w:r>
      <w:r w:rsidR="006E4C41" w:rsidRPr="007E51E0">
        <w:rPr>
          <w:rFonts w:cs="AdvTimes"/>
          <w:lang w:val="en-IE" w:eastAsia="de-DE"/>
        </w:rPr>
        <w:t xml:space="preserve"> (Rush &amp; Thomas, 2012)</w:t>
      </w:r>
      <w:r w:rsidR="00723A8B" w:rsidRPr="007E51E0">
        <w:rPr>
          <w:rFonts w:cs="AdvTimes"/>
          <w:lang w:val="en-IE" w:eastAsia="de-DE"/>
        </w:rPr>
        <w:t xml:space="preserve">. </w:t>
      </w:r>
      <w:proofErr w:type="spellStart"/>
      <w:r w:rsidR="00723A8B" w:rsidRPr="007E51E0">
        <w:rPr>
          <w:i/>
          <w:lang w:val="en-IE" w:eastAsia="de-DE"/>
        </w:rPr>
        <w:t>Burkholderia</w:t>
      </w:r>
      <w:proofErr w:type="spellEnd"/>
      <w:r w:rsidR="00723A8B" w:rsidRPr="007E51E0">
        <w:rPr>
          <w:i/>
          <w:lang w:val="en-IE" w:eastAsia="de-DE"/>
        </w:rPr>
        <w:t xml:space="preserve"> </w:t>
      </w:r>
      <w:proofErr w:type="spellStart"/>
      <w:r w:rsidR="00723A8B" w:rsidRPr="007E51E0">
        <w:rPr>
          <w:i/>
          <w:lang w:val="en-IE" w:eastAsia="de-DE"/>
        </w:rPr>
        <w:t>pseudomallei</w:t>
      </w:r>
      <w:proofErr w:type="spellEnd"/>
      <w:r w:rsidR="00723A8B" w:rsidRPr="007E51E0">
        <w:rPr>
          <w:lang w:val="en-IE" w:eastAsia="de-DE"/>
        </w:rPr>
        <w:t xml:space="preserve"> has regularly been isolated from abscesses </w:t>
      </w:r>
      <w:r w:rsidR="00F40D51" w:rsidRPr="007E51E0">
        <w:rPr>
          <w:lang w:val="en-IE" w:eastAsia="de-DE"/>
        </w:rPr>
        <w:t xml:space="preserve">in </w:t>
      </w:r>
      <w:r w:rsidR="00723A8B" w:rsidRPr="007E51E0">
        <w:rPr>
          <w:lang w:val="en-IE" w:eastAsia="de-DE"/>
        </w:rPr>
        <w:t>various organs (spleen, liver, lung, lymph nodes), from milk in cases with mastitis</w:t>
      </w:r>
      <w:r w:rsidR="00F40D51" w:rsidRPr="007E51E0">
        <w:rPr>
          <w:lang w:val="en-IE" w:eastAsia="de-DE"/>
        </w:rPr>
        <w:t>,</w:t>
      </w:r>
      <w:r w:rsidR="00723A8B" w:rsidRPr="007E51E0">
        <w:rPr>
          <w:lang w:val="en-IE" w:eastAsia="de-DE"/>
        </w:rPr>
        <w:t xml:space="preserve"> or from faeces in diarrh</w:t>
      </w:r>
      <w:r w:rsidR="002D09EA" w:rsidRPr="007E51E0">
        <w:rPr>
          <w:lang w:val="en-IE" w:eastAsia="de-DE"/>
        </w:rPr>
        <w:t>o</w:t>
      </w:r>
      <w:r w:rsidR="00723A8B" w:rsidRPr="007E51E0">
        <w:rPr>
          <w:lang w:val="en-IE" w:eastAsia="de-DE"/>
        </w:rPr>
        <w:t xml:space="preserve">ea cases. </w:t>
      </w:r>
      <w:r w:rsidR="00F40D51" w:rsidRPr="007E51E0">
        <w:rPr>
          <w:lang w:val="en-IE" w:eastAsia="de-DE"/>
        </w:rPr>
        <w:t>T</w:t>
      </w:r>
      <w:r w:rsidR="007C7521" w:rsidRPr="007E51E0">
        <w:rPr>
          <w:lang w:val="en-IE" w:eastAsia="de-DE"/>
        </w:rPr>
        <w:t>his chapter focuses on t</w:t>
      </w:r>
      <w:r w:rsidR="00F40D51" w:rsidRPr="007E51E0">
        <w:rPr>
          <w:lang w:val="en-IE" w:eastAsia="de-DE"/>
        </w:rPr>
        <w:t xml:space="preserve">he disease </w:t>
      </w:r>
      <w:r w:rsidR="00723A8B" w:rsidRPr="007E51E0">
        <w:rPr>
          <w:lang w:val="en-IE" w:eastAsia="de-DE"/>
        </w:rPr>
        <w:t>in horses</w:t>
      </w:r>
      <w:r w:rsidR="007C7521" w:rsidRPr="007E51E0">
        <w:rPr>
          <w:lang w:val="en-IE" w:eastAsia="de-DE"/>
        </w:rPr>
        <w:t>, which</w:t>
      </w:r>
      <w:r w:rsidR="00723A8B" w:rsidRPr="007E51E0">
        <w:rPr>
          <w:lang w:val="en-IE" w:eastAsia="de-DE"/>
        </w:rPr>
        <w:t xml:space="preserve"> </w:t>
      </w:r>
      <w:r w:rsidR="00F40D51" w:rsidRPr="007E51E0">
        <w:rPr>
          <w:lang w:val="en-IE" w:eastAsia="de-DE"/>
        </w:rPr>
        <w:t>may</w:t>
      </w:r>
      <w:r w:rsidR="00723A8B" w:rsidRPr="007E51E0">
        <w:rPr>
          <w:lang w:val="en-IE" w:eastAsia="de-DE"/>
        </w:rPr>
        <w:t xml:space="preserve"> closely resembl</w:t>
      </w:r>
      <w:r w:rsidR="00F40D51" w:rsidRPr="007E51E0">
        <w:rPr>
          <w:lang w:val="en-IE" w:eastAsia="de-DE"/>
        </w:rPr>
        <w:t>e</w:t>
      </w:r>
      <w:r w:rsidR="00723A8B" w:rsidRPr="007E51E0">
        <w:rPr>
          <w:lang w:val="en-IE" w:eastAsia="de-DE"/>
        </w:rPr>
        <w:t xml:space="preserve"> glanders</w:t>
      </w:r>
      <w:r w:rsidR="006D0F7F" w:rsidRPr="007E51E0">
        <w:rPr>
          <w:lang w:val="en-IE" w:eastAsia="de-DE"/>
        </w:rPr>
        <w:t>,</w:t>
      </w:r>
      <w:r w:rsidR="006E4C41" w:rsidRPr="007E51E0">
        <w:rPr>
          <w:lang w:val="en-IE" w:eastAsia="de-DE"/>
        </w:rPr>
        <w:t xml:space="preserve"> but more diverse presentations also occur</w:t>
      </w:r>
      <w:r w:rsidR="00723A8B" w:rsidRPr="007E51E0">
        <w:rPr>
          <w:lang w:val="en-IE" w:eastAsia="de-DE"/>
        </w:rPr>
        <w:t xml:space="preserve">. </w:t>
      </w:r>
      <w:r w:rsidR="00AA00D0" w:rsidRPr="007E51E0">
        <w:rPr>
          <w:rFonts w:cs="AdvTimes"/>
          <w:lang w:val="en-IE" w:eastAsia="de-DE"/>
        </w:rPr>
        <w:t xml:space="preserve">Melioidosis in horses has been reported as </w:t>
      </w:r>
      <w:proofErr w:type="spellStart"/>
      <w:r w:rsidR="00AA00D0" w:rsidRPr="007E51E0">
        <w:rPr>
          <w:rFonts w:cs="AdvTimes"/>
          <w:lang w:val="en-IE" w:eastAsia="de-DE"/>
        </w:rPr>
        <w:t>peracute</w:t>
      </w:r>
      <w:proofErr w:type="spellEnd"/>
      <w:r w:rsidR="00AA00D0" w:rsidRPr="007E51E0">
        <w:rPr>
          <w:rFonts w:cs="AdvTimes"/>
          <w:lang w:val="en-IE" w:eastAsia="de-DE"/>
        </w:rPr>
        <w:t xml:space="preserve"> cases with high fever, septicaemia, limb oedema, diarrhoea and death occurring within 24 h</w:t>
      </w:r>
      <w:r w:rsidR="002D09EA" w:rsidRPr="007E51E0">
        <w:rPr>
          <w:rFonts w:cs="AdvTimes"/>
          <w:lang w:val="en-IE" w:eastAsia="de-DE"/>
        </w:rPr>
        <w:t>ours</w:t>
      </w:r>
      <w:r w:rsidR="00AA00D0" w:rsidRPr="007E51E0">
        <w:rPr>
          <w:rFonts w:cs="AdvTimes"/>
          <w:lang w:val="en-IE" w:eastAsia="de-DE"/>
        </w:rPr>
        <w:t xml:space="preserve">, </w:t>
      </w:r>
      <w:r w:rsidR="00F40D51" w:rsidRPr="007E51E0">
        <w:rPr>
          <w:rFonts w:cs="AdvTimes"/>
          <w:lang w:val="en-IE" w:eastAsia="de-DE"/>
        </w:rPr>
        <w:t xml:space="preserve">or </w:t>
      </w:r>
      <w:r w:rsidR="00AA00D0" w:rsidRPr="007E51E0">
        <w:rPr>
          <w:rFonts w:cs="AdvTimes"/>
          <w:lang w:val="en-IE" w:eastAsia="de-DE"/>
        </w:rPr>
        <w:t xml:space="preserve">acute cases with limb oedema, slight colic and intestinal hypermotility. </w:t>
      </w:r>
      <w:r w:rsidR="00F40D51" w:rsidRPr="007E51E0">
        <w:rPr>
          <w:rFonts w:cs="AdvTimes"/>
          <w:lang w:val="en-IE" w:eastAsia="de-DE"/>
        </w:rPr>
        <w:t xml:space="preserve">More typically, </w:t>
      </w:r>
      <w:r w:rsidR="00AA00D0" w:rsidRPr="007E51E0">
        <w:rPr>
          <w:rFonts w:cs="AdvTimes"/>
          <w:lang w:val="en-IE" w:eastAsia="de-DE"/>
        </w:rPr>
        <w:t>melioidosis runs</w:t>
      </w:r>
      <w:r w:rsidR="00F40D51" w:rsidRPr="007E51E0">
        <w:rPr>
          <w:rFonts w:cs="AdvTimes"/>
          <w:lang w:val="en-IE" w:eastAsia="de-DE"/>
        </w:rPr>
        <w:t xml:space="preserve"> a</w:t>
      </w:r>
      <w:r w:rsidR="00AA00D0" w:rsidRPr="007E51E0">
        <w:rPr>
          <w:rFonts w:cs="AdvTimes"/>
          <w:lang w:val="en-IE" w:eastAsia="de-DE"/>
        </w:rPr>
        <w:t xml:space="preserve"> subacute to chronic </w:t>
      </w:r>
      <w:r w:rsidR="00F40D51" w:rsidRPr="007E51E0">
        <w:rPr>
          <w:rFonts w:cs="AdvTimes"/>
          <w:lang w:val="en-IE" w:eastAsia="de-DE"/>
        </w:rPr>
        <w:t xml:space="preserve">course </w:t>
      </w:r>
      <w:r w:rsidR="00AA00D0" w:rsidRPr="007E51E0">
        <w:rPr>
          <w:rFonts w:cs="AdvTimes"/>
          <w:lang w:val="en-IE" w:eastAsia="de-DE"/>
        </w:rPr>
        <w:t>from 3 weeks to 3 months with no loss of appetite. Further s</w:t>
      </w:r>
      <w:r w:rsidR="002D09EA" w:rsidRPr="007E51E0">
        <w:rPr>
          <w:rFonts w:cs="AdvTimes"/>
          <w:lang w:val="en-IE" w:eastAsia="de-DE"/>
        </w:rPr>
        <w:t>ign</w:t>
      </w:r>
      <w:r w:rsidR="00AA00D0" w:rsidRPr="007E51E0">
        <w:rPr>
          <w:rFonts w:cs="AdvTimes"/>
          <w:lang w:val="en-IE" w:eastAsia="de-DE"/>
        </w:rPr>
        <w:t xml:space="preserve">s reported are emaciation, oedema and lymphangitis of the limbs, mild colic, diarrhoea, pneumonia, cough and nasal discharge. Skin involvement </w:t>
      </w:r>
      <w:r w:rsidR="00F95C80" w:rsidRPr="007E51E0">
        <w:rPr>
          <w:rFonts w:cs="AdvTimes"/>
          <w:lang w:val="en-IE" w:eastAsia="de-DE"/>
        </w:rPr>
        <w:t>may</w:t>
      </w:r>
      <w:r w:rsidR="00AA00D0" w:rsidRPr="007E51E0">
        <w:rPr>
          <w:rFonts w:cs="AdvTimes"/>
          <w:lang w:val="en-IE" w:eastAsia="de-DE"/>
        </w:rPr>
        <w:t xml:space="preserve"> initially resembl</w:t>
      </w:r>
      <w:r w:rsidR="00F95C80" w:rsidRPr="007E51E0">
        <w:rPr>
          <w:rFonts w:cs="AdvTimes"/>
          <w:lang w:val="en-IE" w:eastAsia="de-DE"/>
        </w:rPr>
        <w:t>e</w:t>
      </w:r>
      <w:r w:rsidR="00AA00D0" w:rsidRPr="007E51E0">
        <w:rPr>
          <w:rFonts w:cs="AdvTimes"/>
          <w:lang w:val="en-IE" w:eastAsia="de-DE"/>
        </w:rPr>
        <w:t xml:space="preserve"> fungal eczema, later bec</w:t>
      </w:r>
      <w:r w:rsidR="00F95C80" w:rsidRPr="007E51E0">
        <w:rPr>
          <w:rFonts w:cs="AdvTimes"/>
          <w:lang w:val="en-IE" w:eastAsia="de-DE"/>
        </w:rPr>
        <w:t>o</w:t>
      </w:r>
      <w:r w:rsidR="00AA00D0" w:rsidRPr="007E51E0">
        <w:rPr>
          <w:rFonts w:cs="AdvTimes"/>
          <w:lang w:val="en-IE" w:eastAsia="de-DE"/>
        </w:rPr>
        <w:t>m</w:t>
      </w:r>
      <w:r w:rsidR="00F95C80" w:rsidRPr="007E51E0">
        <w:rPr>
          <w:rFonts w:cs="AdvTimes"/>
          <w:lang w:val="en-IE" w:eastAsia="de-DE"/>
        </w:rPr>
        <w:t>ing</w:t>
      </w:r>
      <w:r w:rsidR="00AA00D0" w:rsidRPr="007E51E0">
        <w:rPr>
          <w:rFonts w:cs="AdvTimes"/>
          <w:lang w:val="en-IE" w:eastAsia="de-DE"/>
        </w:rPr>
        <w:t xml:space="preserve"> </w:t>
      </w:r>
      <w:proofErr w:type="spellStart"/>
      <w:r w:rsidR="00AA00D0" w:rsidRPr="007E51E0">
        <w:rPr>
          <w:rFonts w:cs="AdvTimes"/>
          <w:lang w:val="en-IE" w:eastAsia="de-DE"/>
        </w:rPr>
        <w:t>papula</w:t>
      </w:r>
      <w:r w:rsidR="00F95C80" w:rsidRPr="007E51E0">
        <w:rPr>
          <w:rFonts w:cs="AdvTimes"/>
          <w:lang w:val="en-IE" w:eastAsia="de-DE"/>
        </w:rPr>
        <w:t>r</w:t>
      </w:r>
      <w:proofErr w:type="spellEnd"/>
      <w:r w:rsidR="00AA00D0" w:rsidRPr="007E51E0">
        <w:rPr>
          <w:rFonts w:cs="AdvTimes"/>
          <w:lang w:val="en-IE" w:eastAsia="de-DE"/>
        </w:rPr>
        <w:t xml:space="preserve"> without abscess formation. Acute meningoencephalitis and keratitis may be seen. If infection is acquired </w:t>
      </w:r>
      <w:r w:rsidR="00AA00D0" w:rsidRPr="007E51E0">
        <w:rPr>
          <w:rFonts w:cs="AdvTimes"/>
          <w:i/>
          <w:lang w:val="en-IE" w:eastAsia="de-DE"/>
        </w:rPr>
        <w:t xml:space="preserve">per </w:t>
      </w:r>
      <w:proofErr w:type="spellStart"/>
      <w:r w:rsidR="00AA00D0" w:rsidRPr="007E51E0">
        <w:rPr>
          <w:rFonts w:cs="AdvTimes"/>
          <w:i/>
          <w:lang w:val="en-IE" w:eastAsia="de-DE"/>
        </w:rPr>
        <w:t>os</w:t>
      </w:r>
      <w:proofErr w:type="spellEnd"/>
      <w:r w:rsidR="00AA00D0" w:rsidRPr="007E51E0">
        <w:rPr>
          <w:rFonts w:cs="AdvTimes"/>
          <w:lang w:val="en-IE" w:eastAsia="de-DE"/>
        </w:rPr>
        <w:t>, intestinal s</w:t>
      </w:r>
      <w:r w:rsidR="00B87389" w:rsidRPr="007E51E0">
        <w:rPr>
          <w:rFonts w:cs="AdvTimes"/>
          <w:lang w:val="en-IE" w:eastAsia="de-DE"/>
        </w:rPr>
        <w:t>ign</w:t>
      </w:r>
      <w:r w:rsidR="00AA00D0" w:rsidRPr="007E51E0">
        <w:rPr>
          <w:rFonts w:cs="AdvTimes"/>
          <w:lang w:val="en-IE" w:eastAsia="de-DE"/>
        </w:rPr>
        <w:t xml:space="preserve">s may predominate. </w:t>
      </w:r>
      <w:r w:rsidR="007D6DA1" w:rsidRPr="007E51E0">
        <w:rPr>
          <w:rFonts w:cs="AdvTimes"/>
          <w:lang w:val="en-IE" w:eastAsia="de-DE"/>
        </w:rPr>
        <w:t>It is reported that</w:t>
      </w:r>
      <w:r w:rsidR="00AA00D0" w:rsidRPr="007E51E0">
        <w:rPr>
          <w:rFonts w:cs="AdvTimes"/>
          <w:lang w:val="en-IE" w:eastAsia="de-DE"/>
        </w:rPr>
        <w:t xml:space="preserve"> the lungs are always affected and show</w:t>
      </w:r>
      <w:r w:rsidR="007D6DA1" w:rsidRPr="007E51E0">
        <w:rPr>
          <w:rFonts w:cs="AdvTimes"/>
          <w:lang w:val="en-IE" w:eastAsia="de-DE"/>
        </w:rPr>
        <w:t xml:space="preserve"> </w:t>
      </w:r>
      <w:r w:rsidR="00AA00D0" w:rsidRPr="007E51E0">
        <w:rPr>
          <w:rFonts w:cs="AdvTimes"/>
          <w:lang w:val="en-IE" w:eastAsia="de-DE"/>
        </w:rPr>
        <w:t>signs of acute bronchopneumonia and numerous abscesses.</w:t>
      </w:r>
      <w:r w:rsidR="007D6DA1" w:rsidRPr="007E51E0">
        <w:rPr>
          <w:rFonts w:cs="AdvTimes"/>
          <w:lang w:val="en-IE" w:eastAsia="de-DE"/>
        </w:rPr>
        <w:t xml:space="preserve"> </w:t>
      </w:r>
      <w:r w:rsidR="00AA00D0" w:rsidRPr="007E51E0">
        <w:rPr>
          <w:rFonts w:cs="AdvTimes"/>
          <w:lang w:val="en-IE" w:eastAsia="de-DE"/>
        </w:rPr>
        <w:t>Severe enteritis</w:t>
      </w:r>
      <w:r w:rsidR="007D6DA1" w:rsidRPr="007E51E0">
        <w:rPr>
          <w:rFonts w:cs="AdvTimes"/>
          <w:lang w:val="en-IE" w:eastAsia="de-DE"/>
        </w:rPr>
        <w:t xml:space="preserve">, </w:t>
      </w:r>
      <w:r w:rsidR="00AA00D0" w:rsidRPr="007E51E0">
        <w:rPr>
          <w:rFonts w:cs="AdvTimes"/>
          <w:lang w:val="en-IE" w:eastAsia="de-DE"/>
        </w:rPr>
        <w:t>multiple microabscessation in the kidneys</w:t>
      </w:r>
      <w:r w:rsidR="007D6DA1" w:rsidRPr="007E51E0">
        <w:rPr>
          <w:rFonts w:cs="AdvTimes"/>
          <w:lang w:val="en-IE" w:eastAsia="de-DE"/>
        </w:rPr>
        <w:t>,</w:t>
      </w:r>
      <w:r w:rsidR="00B87389" w:rsidRPr="007E51E0">
        <w:rPr>
          <w:rFonts w:cs="AdvTimes"/>
          <w:lang w:val="en-IE" w:eastAsia="de-DE"/>
        </w:rPr>
        <w:t xml:space="preserve"> and</w:t>
      </w:r>
      <w:r w:rsidR="007D6DA1" w:rsidRPr="007E51E0">
        <w:rPr>
          <w:rFonts w:cs="AdvTimes"/>
          <w:lang w:val="en-IE" w:eastAsia="de-DE"/>
        </w:rPr>
        <w:t xml:space="preserve"> n</w:t>
      </w:r>
      <w:r w:rsidR="00AA00D0" w:rsidRPr="007E51E0">
        <w:rPr>
          <w:rFonts w:cs="AdvTimes"/>
          <w:lang w:val="en-IE" w:eastAsia="de-DE"/>
        </w:rPr>
        <w:t>ecrotic foci in liver</w:t>
      </w:r>
      <w:r w:rsidR="007D6DA1" w:rsidRPr="007E51E0">
        <w:rPr>
          <w:rFonts w:cs="AdvTimes"/>
          <w:lang w:val="en-IE" w:eastAsia="de-DE"/>
        </w:rPr>
        <w:t xml:space="preserve"> </w:t>
      </w:r>
      <w:r w:rsidR="00AA00D0" w:rsidRPr="007E51E0">
        <w:rPr>
          <w:rFonts w:cs="AdvTimes"/>
          <w:lang w:val="en-IE" w:eastAsia="de-DE"/>
        </w:rPr>
        <w:t>and spleen</w:t>
      </w:r>
      <w:r w:rsidR="007D6DA1" w:rsidRPr="007E51E0">
        <w:rPr>
          <w:rFonts w:cs="AdvTimes"/>
          <w:lang w:val="en-IE" w:eastAsia="de-DE"/>
        </w:rPr>
        <w:t xml:space="preserve"> may be found at necropsy</w:t>
      </w:r>
      <w:r w:rsidR="00AA00D0" w:rsidRPr="007E51E0">
        <w:rPr>
          <w:rFonts w:cs="AdvTimes"/>
          <w:lang w:val="en-IE" w:eastAsia="de-DE"/>
        </w:rPr>
        <w:t>. Ulcers on the mucosa of the upper</w:t>
      </w:r>
      <w:r w:rsidR="007D6DA1" w:rsidRPr="007E51E0">
        <w:rPr>
          <w:rFonts w:cs="AdvTimes"/>
          <w:lang w:val="en-IE" w:eastAsia="de-DE"/>
        </w:rPr>
        <w:t xml:space="preserve"> respiratory tract </w:t>
      </w:r>
      <w:r w:rsidR="00AA00D0" w:rsidRPr="007E51E0">
        <w:rPr>
          <w:rFonts w:cs="AdvTimes"/>
          <w:lang w:val="en-IE" w:eastAsia="de-DE"/>
        </w:rPr>
        <w:t xml:space="preserve">and </w:t>
      </w:r>
      <w:proofErr w:type="spellStart"/>
      <w:r w:rsidR="00AA00D0" w:rsidRPr="007E51E0">
        <w:rPr>
          <w:rFonts w:cs="AdvTimes"/>
          <w:lang w:val="en-IE" w:eastAsia="de-DE"/>
        </w:rPr>
        <w:t>cicatrical</w:t>
      </w:r>
      <w:proofErr w:type="spellEnd"/>
      <w:r w:rsidR="00AA00D0" w:rsidRPr="007E51E0">
        <w:rPr>
          <w:rFonts w:cs="AdvTimes"/>
          <w:lang w:val="en-IE" w:eastAsia="de-DE"/>
        </w:rPr>
        <w:t xml:space="preserve"> scar tissue on the septum nasi and epiglottis</w:t>
      </w:r>
      <w:r w:rsidR="007D6DA1" w:rsidRPr="007E51E0">
        <w:rPr>
          <w:rFonts w:cs="AdvTimes"/>
          <w:lang w:val="en-IE" w:eastAsia="de-DE"/>
        </w:rPr>
        <w:t xml:space="preserve"> may be found</w:t>
      </w:r>
      <w:r w:rsidR="00AA00D0" w:rsidRPr="007E51E0">
        <w:rPr>
          <w:rFonts w:cs="AdvTimes"/>
          <w:lang w:val="en-IE" w:eastAsia="de-DE"/>
        </w:rPr>
        <w:t>. Ulcers and nodules in the skin and subcutis of the limbs</w:t>
      </w:r>
      <w:r w:rsidR="007D6DA1" w:rsidRPr="007E51E0">
        <w:rPr>
          <w:rFonts w:cs="AdvTimes"/>
          <w:lang w:val="en-IE" w:eastAsia="de-DE"/>
        </w:rPr>
        <w:t xml:space="preserve"> may be confused with farcy</w:t>
      </w:r>
      <w:r w:rsidR="00AA00D0" w:rsidRPr="007E51E0">
        <w:rPr>
          <w:rFonts w:cs="AdvTimes"/>
          <w:lang w:val="en-IE" w:eastAsia="de-DE"/>
        </w:rPr>
        <w:t xml:space="preserve">. </w:t>
      </w:r>
      <w:r w:rsidR="00B87389" w:rsidRPr="007E51E0">
        <w:rPr>
          <w:rFonts w:cs="AdvTimes"/>
          <w:lang w:val="en-IE" w:eastAsia="de-DE"/>
        </w:rPr>
        <w:t xml:space="preserve">Conjunctivitis </w:t>
      </w:r>
      <w:r w:rsidR="00AA00D0" w:rsidRPr="007E51E0">
        <w:rPr>
          <w:rFonts w:cs="AdvTimes"/>
          <w:lang w:val="en-IE" w:eastAsia="de-DE"/>
        </w:rPr>
        <w:t xml:space="preserve">and keratitis </w:t>
      </w:r>
      <w:r w:rsidR="006E4C41" w:rsidRPr="007E51E0">
        <w:rPr>
          <w:rFonts w:cs="AdvTimes"/>
          <w:lang w:val="en-IE" w:eastAsia="de-DE"/>
        </w:rPr>
        <w:t>have been reported,</w:t>
      </w:r>
      <w:r w:rsidR="000006E0" w:rsidRPr="007E51E0">
        <w:rPr>
          <w:rFonts w:cs="AdvTimes"/>
          <w:lang w:val="en-IE" w:eastAsia="de-DE"/>
        </w:rPr>
        <w:t xml:space="preserve"> </w:t>
      </w:r>
      <w:r w:rsidR="008847C9" w:rsidRPr="007E51E0">
        <w:rPr>
          <w:rFonts w:cs="AdvTimes"/>
          <w:lang w:val="en-IE" w:eastAsia="de-DE"/>
        </w:rPr>
        <w:t>though</w:t>
      </w:r>
      <w:r w:rsidR="007D6DA1" w:rsidRPr="007E51E0">
        <w:rPr>
          <w:rFonts w:cs="AdvTimes"/>
          <w:lang w:val="en-IE" w:eastAsia="de-DE"/>
        </w:rPr>
        <w:t xml:space="preserve"> </w:t>
      </w:r>
      <w:r w:rsidR="00B87389" w:rsidRPr="007E51E0">
        <w:rPr>
          <w:rFonts w:cs="AdvTimes"/>
          <w:lang w:val="en-IE" w:eastAsia="de-DE"/>
        </w:rPr>
        <w:t>rare</w:t>
      </w:r>
      <w:r w:rsidR="00AA00D0" w:rsidRPr="007E51E0">
        <w:rPr>
          <w:rFonts w:cs="AdvTimes"/>
          <w:lang w:val="en-IE" w:eastAsia="de-DE"/>
        </w:rPr>
        <w:t>.</w:t>
      </w:r>
      <w:r w:rsidR="007D6DA1" w:rsidRPr="007E51E0">
        <w:rPr>
          <w:rFonts w:cs="AdvTimes"/>
          <w:lang w:val="en-IE" w:eastAsia="de-DE"/>
        </w:rPr>
        <w:t xml:space="preserve"> </w:t>
      </w:r>
      <w:r w:rsidR="00AA00D0" w:rsidRPr="007E51E0">
        <w:rPr>
          <w:rFonts w:cs="AdvTimes"/>
          <w:lang w:val="en-IE" w:eastAsia="de-DE"/>
        </w:rPr>
        <w:t>The incubation period for naturally occurring infection in animals is not known.</w:t>
      </w:r>
      <w:r w:rsidR="002C4F5A" w:rsidRPr="007E51E0">
        <w:rPr>
          <w:rFonts w:cs="AdvTimes"/>
          <w:lang w:val="en-IE" w:eastAsia="de-DE"/>
        </w:rPr>
        <w:t xml:space="preserve"> </w:t>
      </w:r>
      <w:r w:rsidR="00044195" w:rsidRPr="007E51E0">
        <w:rPr>
          <w:lang w:val="en-IE" w:eastAsia="de-DE"/>
        </w:rPr>
        <w:t>Spread may be by infected animals or contaminated material</w:t>
      </w:r>
      <w:r w:rsidR="008847C9" w:rsidRPr="007E51E0">
        <w:rPr>
          <w:lang w:val="en-IE" w:eastAsia="de-DE"/>
        </w:rPr>
        <w:t>s in the animals’ environment</w:t>
      </w:r>
      <w:r w:rsidR="00044195" w:rsidRPr="007E51E0">
        <w:rPr>
          <w:lang w:val="en-IE" w:eastAsia="de-DE"/>
        </w:rPr>
        <w:t xml:space="preserve">. Infection is thought to occur by inoculation, ingestion or inhalation of environmental organisms. Inapparent infection may occur. </w:t>
      </w:r>
      <w:r w:rsidR="00407CCF" w:rsidRPr="007E51E0">
        <w:rPr>
          <w:lang w:val="en-IE" w:eastAsia="de-DE"/>
        </w:rPr>
        <w:t>(</w:t>
      </w:r>
      <w:r w:rsidR="00AB76CC" w:rsidRPr="007E51E0">
        <w:rPr>
          <w:lang w:val="en-IE" w:eastAsia="de-DE"/>
        </w:rPr>
        <w:t xml:space="preserve">reviewed by </w:t>
      </w:r>
      <w:r w:rsidR="00407CCF" w:rsidRPr="007E51E0">
        <w:rPr>
          <w:lang w:val="en-IE" w:eastAsia="de-DE"/>
        </w:rPr>
        <w:t xml:space="preserve">Sprague </w:t>
      </w:r>
      <w:r w:rsidR="002D09EA" w:rsidRPr="007E51E0">
        <w:rPr>
          <w:lang w:val="en-IE" w:eastAsia="de-DE"/>
        </w:rPr>
        <w:t>&amp;</w:t>
      </w:r>
      <w:r w:rsidR="00407CCF" w:rsidRPr="007E51E0">
        <w:rPr>
          <w:lang w:val="en-IE" w:eastAsia="de-DE"/>
        </w:rPr>
        <w:t xml:space="preserve"> Neubauer, 2004). </w:t>
      </w:r>
      <w:r w:rsidR="00F86D48" w:rsidRPr="007E51E0">
        <w:rPr>
          <w:lang w:val="en-IE" w:eastAsia="de-DE"/>
        </w:rPr>
        <w:t xml:space="preserve">In humans the disease </w:t>
      </w:r>
      <w:r w:rsidR="00F95C80" w:rsidRPr="007E51E0">
        <w:rPr>
          <w:lang w:val="en-IE" w:eastAsia="de-DE"/>
        </w:rPr>
        <w:t xml:space="preserve">is </w:t>
      </w:r>
      <w:r w:rsidR="00F86D48" w:rsidRPr="007E51E0">
        <w:rPr>
          <w:lang w:val="en-IE" w:eastAsia="de-DE"/>
        </w:rPr>
        <w:t>frequently fatal despite time</w:t>
      </w:r>
      <w:r w:rsidR="00F95C80" w:rsidRPr="007E51E0">
        <w:rPr>
          <w:lang w:val="en-IE" w:eastAsia="de-DE"/>
        </w:rPr>
        <w:t>ly institution</w:t>
      </w:r>
      <w:r w:rsidR="00F86D48" w:rsidRPr="007E51E0">
        <w:rPr>
          <w:lang w:val="en-IE" w:eastAsia="de-DE"/>
        </w:rPr>
        <w:t xml:space="preserve"> of therapy</w:t>
      </w:r>
      <w:r w:rsidR="00AB76CC" w:rsidRPr="007E51E0">
        <w:rPr>
          <w:lang w:val="en-IE" w:eastAsia="de-DE"/>
        </w:rPr>
        <w:t xml:space="preserve"> (</w:t>
      </w:r>
      <w:r w:rsidR="00026B4B" w:rsidRPr="007E51E0">
        <w:rPr>
          <w:lang w:val="en-IE" w:eastAsia="de-DE"/>
        </w:rPr>
        <w:t>Currie, 2015</w:t>
      </w:r>
      <w:r w:rsidR="002D09EA" w:rsidRPr="007E51E0">
        <w:rPr>
          <w:lang w:val="en-IE" w:eastAsia="de-DE"/>
        </w:rPr>
        <w:t>;</w:t>
      </w:r>
      <w:r w:rsidR="00026B4B" w:rsidRPr="007E51E0">
        <w:rPr>
          <w:lang w:val="en-IE" w:eastAsia="de-DE"/>
        </w:rPr>
        <w:t xml:space="preserve"> </w:t>
      </w:r>
      <w:r w:rsidR="00AB76CC" w:rsidRPr="007E51E0">
        <w:rPr>
          <w:lang w:val="en-IE" w:eastAsia="de-DE"/>
        </w:rPr>
        <w:t xml:space="preserve">Kingsley </w:t>
      </w:r>
      <w:r w:rsidR="002D09EA" w:rsidRPr="007E51E0">
        <w:rPr>
          <w:i/>
          <w:lang w:val="en-IE" w:eastAsia="de-DE"/>
        </w:rPr>
        <w:t>et al</w:t>
      </w:r>
      <w:r w:rsidR="00AB76CC" w:rsidRPr="007E51E0">
        <w:rPr>
          <w:i/>
          <w:lang w:val="en-IE" w:eastAsia="de-DE"/>
        </w:rPr>
        <w:t>.,</w:t>
      </w:r>
      <w:r w:rsidR="00AB76CC" w:rsidRPr="007E51E0">
        <w:rPr>
          <w:lang w:val="en-IE" w:eastAsia="de-DE"/>
        </w:rPr>
        <w:t xml:space="preserve"> 2016</w:t>
      </w:r>
      <w:r w:rsidR="00B87389" w:rsidRPr="007E51E0">
        <w:rPr>
          <w:lang w:val="en-IE" w:eastAsia="de-DE"/>
        </w:rPr>
        <w:t>b</w:t>
      </w:r>
      <w:r w:rsidR="00AB76CC" w:rsidRPr="007E51E0">
        <w:rPr>
          <w:lang w:val="en-IE" w:eastAsia="de-DE"/>
        </w:rPr>
        <w:t>)</w:t>
      </w:r>
      <w:r w:rsidR="00F86D48" w:rsidRPr="007E51E0">
        <w:rPr>
          <w:lang w:val="en-IE" w:eastAsia="de-DE"/>
        </w:rPr>
        <w:t>.</w:t>
      </w:r>
      <w:r w:rsidR="007D6DA1" w:rsidRPr="007E51E0">
        <w:rPr>
          <w:lang w:val="en-IE" w:eastAsia="de-DE"/>
        </w:rPr>
        <w:t xml:space="preserve"> No approved antibiotic regime</w:t>
      </w:r>
      <w:r w:rsidR="008847C9" w:rsidRPr="007E51E0">
        <w:rPr>
          <w:lang w:val="en-IE" w:eastAsia="de-DE"/>
        </w:rPr>
        <w:t>n</w:t>
      </w:r>
      <w:r w:rsidR="007D6DA1" w:rsidRPr="007E51E0">
        <w:rPr>
          <w:lang w:val="en-IE" w:eastAsia="de-DE"/>
        </w:rPr>
        <w:t xml:space="preserve">s for horses </w:t>
      </w:r>
      <w:r w:rsidR="00F95C80" w:rsidRPr="007E51E0">
        <w:rPr>
          <w:lang w:val="en-IE" w:eastAsia="de-DE"/>
        </w:rPr>
        <w:t>ha</w:t>
      </w:r>
      <w:r w:rsidR="008847C9" w:rsidRPr="007E51E0">
        <w:rPr>
          <w:lang w:val="en-IE" w:eastAsia="de-DE"/>
        </w:rPr>
        <w:t>ve</w:t>
      </w:r>
      <w:r w:rsidR="00F95C80" w:rsidRPr="007E51E0">
        <w:rPr>
          <w:lang w:val="en-IE" w:eastAsia="de-DE"/>
        </w:rPr>
        <w:t xml:space="preserve"> been </w:t>
      </w:r>
      <w:r w:rsidR="007D6DA1" w:rsidRPr="007E51E0">
        <w:rPr>
          <w:lang w:val="en-IE" w:eastAsia="de-DE"/>
        </w:rPr>
        <w:t>recommended.</w:t>
      </w:r>
      <w:r w:rsidR="002C4F5A" w:rsidRPr="007E51E0">
        <w:rPr>
          <w:lang w:val="en-IE"/>
        </w:rPr>
        <w:t xml:space="preserve"> </w:t>
      </w:r>
    </w:p>
    <w:p w14:paraId="564CDBE4" w14:textId="4288C5C6" w:rsidR="008D30CA" w:rsidRPr="007E51E0" w:rsidRDefault="00723A8B" w:rsidP="00DE2935">
      <w:pPr>
        <w:pStyle w:val="paraA0"/>
        <w:rPr>
          <w:lang w:val="en-IE"/>
        </w:rPr>
      </w:pPr>
      <w:r w:rsidRPr="007E51E0">
        <w:rPr>
          <w:rFonts w:cs="AdvTimes"/>
          <w:lang w:val="en-IE" w:eastAsia="de-DE"/>
        </w:rPr>
        <w:t>Melioidosis can be</w:t>
      </w:r>
      <w:r w:rsidR="002C4F5A" w:rsidRPr="007E51E0">
        <w:rPr>
          <w:rFonts w:cs="AdvTimes"/>
          <w:lang w:val="en-IE" w:eastAsia="de-DE"/>
        </w:rPr>
        <w:t xml:space="preserve"> considered an emerging disease</w:t>
      </w:r>
      <w:r w:rsidRPr="007E51E0">
        <w:rPr>
          <w:rFonts w:cs="AdvTimes"/>
          <w:lang w:val="en-IE" w:eastAsia="de-DE"/>
        </w:rPr>
        <w:t xml:space="preserve"> </w:t>
      </w:r>
      <w:r w:rsidR="002C4F5A" w:rsidRPr="007E51E0">
        <w:rPr>
          <w:rFonts w:cs="AdvTimes"/>
          <w:lang w:val="en-IE" w:eastAsia="de-DE"/>
        </w:rPr>
        <w:t xml:space="preserve">and is present in </w:t>
      </w:r>
      <w:r w:rsidRPr="007E51E0">
        <w:rPr>
          <w:lang w:val="en-IE" w:eastAsia="de-DE"/>
        </w:rPr>
        <w:t xml:space="preserve">many regions worldwide </w:t>
      </w:r>
      <w:r w:rsidR="008D30CA" w:rsidRPr="007E51E0">
        <w:rPr>
          <w:rFonts w:cs="AdvTimes"/>
          <w:lang w:val="en-IE" w:eastAsia="de-DE"/>
        </w:rPr>
        <w:t>(</w:t>
      </w:r>
      <w:proofErr w:type="spellStart"/>
      <w:r w:rsidR="008D30CA" w:rsidRPr="007E51E0">
        <w:rPr>
          <w:lang w:val="en-IE"/>
        </w:rPr>
        <w:t>Limmathurotsakul</w:t>
      </w:r>
      <w:proofErr w:type="spellEnd"/>
      <w:r w:rsidR="008D30CA" w:rsidRPr="007E51E0">
        <w:rPr>
          <w:rFonts w:cs="AdvTimes"/>
          <w:lang w:val="en-IE" w:eastAsia="de-DE"/>
        </w:rPr>
        <w:t xml:space="preserve"> </w:t>
      </w:r>
      <w:r w:rsidR="002D09EA" w:rsidRPr="007E51E0">
        <w:rPr>
          <w:rFonts w:cs="AdvTimes"/>
          <w:i/>
          <w:lang w:val="en-IE" w:eastAsia="de-DE"/>
        </w:rPr>
        <w:t>et al</w:t>
      </w:r>
      <w:r w:rsidR="008D30CA" w:rsidRPr="007E51E0">
        <w:rPr>
          <w:rFonts w:cs="AdvTimes"/>
          <w:i/>
          <w:lang w:val="en-IE" w:eastAsia="de-DE"/>
        </w:rPr>
        <w:t>.,</w:t>
      </w:r>
      <w:r w:rsidR="008D30CA" w:rsidRPr="007E51E0">
        <w:rPr>
          <w:rFonts w:cs="AdvTimes"/>
          <w:lang w:val="en-IE" w:eastAsia="de-DE"/>
        </w:rPr>
        <w:t xml:space="preserve"> 2016)</w:t>
      </w:r>
      <w:r w:rsidRPr="007E51E0">
        <w:rPr>
          <w:lang w:val="en-IE" w:eastAsia="de-DE"/>
        </w:rPr>
        <w:t xml:space="preserve">. </w:t>
      </w:r>
      <w:r w:rsidR="00044195" w:rsidRPr="007E51E0">
        <w:rPr>
          <w:lang w:val="en-IE"/>
        </w:rPr>
        <w:t xml:space="preserve">Control of melioidosis requires testing of suspect clinical cases, screening of apparently normal equids, and elimination of reactors. </w:t>
      </w:r>
      <w:r w:rsidR="00044195" w:rsidRPr="007E51E0">
        <w:rPr>
          <w:lang w:val="en-IE" w:eastAsia="de-DE"/>
        </w:rPr>
        <w:t xml:space="preserve">In areas with </w:t>
      </w:r>
      <w:r w:rsidR="00B87389" w:rsidRPr="007E51E0">
        <w:rPr>
          <w:lang w:val="en-IE" w:eastAsia="de-DE"/>
        </w:rPr>
        <w:t>a</w:t>
      </w:r>
      <w:r w:rsidR="00D921FF" w:rsidRPr="007E51E0">
        <w:rPr>
          <w:lang w:val="en-IE" w:eastAsia="de-DE"/>
        </w:rPr>
        <w:t xml:space="preserve"> temperate</w:t>
      </w:r>
      <w:r w:rsidR="00044195" w:rsidRPr="007E51E0">
        <w:rPr>
          <w:lang w:val="en-IE" w:eastAsia="de-DE"/>
        </w:rPr>
        <w:t xml:space="preserve"> climate</w:t>
      </w:r>
      <w:r w:rsidR="00B87389" w:rsidRPr="007E51E0">
        <w:rPr>
          <w:lang w:val="en-IE" w:eastAsia="de-DE"/>
        </w:rPr>
        <w:t>,</w:t>
      </w:r>
      <w:r w:rsidR="00044195" w:rsidRPr="007E51E0">
        <w:rPr>
          <w:lang w:val="en-IE" w:eastAsia="de-DE"/>
        </w:rPr>
        <w:t xml:space="preserve"> special thought has to be given to stable </w:t>
      </w:r>
      <w:r w:rsidR="00B87389" w:rsidRPr="007E51E0">
        <w:rPr>
          <w:lang w:val="en-IE" w:eastAsia="de-DE"/>
        </w:rPr>
        <w:t xml:space="preserve">hygiene </w:t>
      </w:r>
      <w:r w:rsidR="007D6DA1" w:rsidRPr="007E51E0">
        <w:rPr>
          <w:lang w:val="en-IE" w:eastAsia="de-DE"/>
        </w:rPr>
        <w:t xml:space="preserve">(disinfection, removal of faeces several times a day, reduction of the use of water for </w:t>
      </w:r>
      <w:r w:rsidR="00407CCF" w:rsidRPr="007E51E0">
        <w:rPr>
          <w:lang w:val="en-IE" w:eastAsia="de-DE"/>
        </w:rPr>
        <w:t xml:space="preserve">cleaning, disinfection of hooves and lower limbs, movement control) </w:t>
      </w:r>
      <w:r w:rsidR="00044195" w:rsidRPr="007E51E0">
        <w:rPr>
          <w:lang w:val="en-IE" w:eastAsia="de-DE"/>
        </w:rPr>
        <w:t>and soil hygiene.</w:t>
      </w:r>
      <w:r w:rsidR="00044195" w:rsidRPr="007E51E0">
        <w:rPr>
          <w:lang w:val="en-IE"/>
        </w:rPr>
        <w:t xml:space="preserve"> </w:t>
      </w:r>
      <w:r w:rsidR="008847C9" w:rsidRPr="007E51E0">
        <w:rPr>
          <w:lang w:val="en-IE"/>
        </w:rPr>
        <w:t xml:space="preserve">Suitable methods to prevent spread by treatment </w:t>
      </w:r>
      <w:r w:rsidR="00407CCF" w:rsidRPr="007E51E0">
        <w:rPr>
          <w:lang w:val="en-IE"/>
        </w:rPr>
        <w:t xml:space="preserve">of manure, waste water or rodent control </w:t>
      </w:r>
      <w:r w:rsidR="008847C9" w:rsidRPr="007E51E0">
        <w:rPr>
          <w:lang w:val="en-IE"/>
        </w:rPr>
        <w:t>have not been investigated or reported</w:t>
      </w:r>
      <w:r w:rsidR="000006E0" w:rsidRPr="007E51E0">
        <w:rPr>
          <w:lang w:val="en-IE"/>
        </w:rPr>
        <w:t xml:space="preserve"> </w:t>
      </w:r>
      <w:r w:rsidR="008D30CA" w:rsidRPr="007E51E0">
        <w:rPr>
          <w:lang w:val="en-IE"/>
        </w:rPr>
        <w:t>(</w:t>
      </w:r>
      <w:proofErr w:type="spellStart"/>
      <w:r w:rsidR="008D30CA" w:rsidRPr="007E51E0">
        <w:rPr>
          <w:lang w:val="en-IE"/>
        </w:rPr>
        <w:t>Dodin</w:t>
      </w:r>
      <w:proofErr w:type="spellEnd"/>
      <w:r w:rsidR="008D30CA" w:rsidRPr="007E51E0">
        <w:rPr>
          <w:lang w:val="en-IE"/>
        </w:rPr>
        <w:t>, 1992</w:t>
      </w:r>
      <w:r w:rsidR="00407CCF" w:rsidRPr="007E51E0">
        <w:rPr>
          <w:lang w:val="en-IE"/>
        </w:rPr>
        <w:t>).</w:t>
      </w:r>
      <w:r w:rsidR="00407CCF" w:rsidRPr="007E51E0">
        <w:rPr>
          <w:rFonts w:cs="AdvTimes"/>
          <w:lang w:val="en-IE" w:eastAsia="de-DE"/>
        </w:rPr>
        <w:t xml:space="preserve"> </w:t>
      </w:r>
      <w:proofErr w:type="spellStart"/>
      <w:r w:rsidR="00407CCF" w:rsidRPr="007E51E0">
        <w:rPr>
          <w:rFonts w:cs="AdvTimes"/>
          <w:lang w:val="en-IE" w:eastAsia="de-DE"/>
        </w:rPr>
        <w:t>Dodin</w:t>
      </w:r>
      <w:proofErr w:type="spellEnd"/>
      <w:r w:rsidR="00407CCF" w:rsidRPr="007E51E0">
        <w:rPr>
          <w:rFonts w:cs="AdvTimes"/>
          <w:lang w:val="en-IE" w:eastAsia="de-DE"/>
        </w:rPr>
        <w:t xml:space="preserve"> (1992) stated that the enzootics in France declined and the infected soils were cleared only after all infected animals were removed</w:t>
      </w:r>
      <w:r w:rsidR="008D30CA" w:rsidRPr="007E51E0">
        <w:rPr>
          <w:lang w:val="en-IE" w:eastAsia="de-DE"/>
        </w:rPr>
        <w:t>.</w:t>
      </w:r>
      <w:r w:rsidR="008D30CA" w:rsidRPr="007E51E0">
        <w:rPr>
          <w:lang w:val="en-IE"/>
        </w:rPr>
        <w:t xml:space="preserve"> </w:t>
      </w:r>
      <w:r w:rsidR="00624C8B" w:rsidRPr="007E51E0">
        <w:rPr>
          <w:lang w:val="en-IE"/>
        </w:rPr>
        <w:t xml:space="preserve">Consequently, Sprague </w:t>
      </w:r>
      <w:r w:rsidR="002D09EA" w:rsidRPr="007E51E0">
        <w:rPr>
          <w:lang w:val="en-IE"/>
        </w:rPr>
        <w:t>&amp;</w:t>
      </w:r>
      <w:r w:rsidR="00624C8B" w:rsidRPr="007E51E0">
        <w:rPr>
          <w:lang w:val="en-IE"/>
        </w:rPr>
        <w:t xml:space="preserve"> Neubauer</w:t>
      </w:r>
      <w:r w:rsidR="00B87389" w:rsidRPr="007E51E0">
        <w:rPr>
          <w:lang w:val="en-IE"/>
        </w:rPr>
        <w:t xml:space="preserve"> (</w:t>
      </w:r>
      <w:r w:rsidR="00624C8B" w:rsidRPr="007E51E0">
        <w:rPr>
          <w:lang w:val="en-IE"/>
        </w:rPr>
        <w:t>2004</w:t>
      </w:r>
      <w:r w:rsidR="00B87389" w:rsidRPr="007E51E0">
        <w:rPr>
          <w:lang w:val="en-IE"/>
        </w:rPr>
        <w:t>)</w:t>
      </w:r>
      <w:r w:rsidR="00624C8B" w:rsidRPr="007E51E0">
        <w:rPr>
          <w:lang w:val="en-IE"/>
        </w:rPr>
        <w:t xml:space="preserve"> </w:t>
      </w:r>
      <w:r w:rsidR="00F95C80" w:rsidRPr="007E51E0">
        <w:rPr>
          <w:lang w:val="en-IE"/>
        </w:rPr>
        <w:t xml:space="preserve">proposed </w:t>
      </w:r>
      <w:r w:rsidR="00624C8B" w:rsidRPr="007E51E0">
        <w:rPr>
          <w:lang w:val="en-IE"/>
        </w:rPr>
        <w:t xml:space="preserve">that equids with melioidosis </w:t>
      </w:r>
      <w:r w:rsidR="00F95C80" w:rsidRPr="007E51E0">
        <w:rPr>
          <w:lang w:val="en-IE"/>
        </w:rPr>
        <w:t>should</w:t>
      </w:r>
      <w:r w:rsidR="00624C8B" w:rsidRPr="007E51E0">
        <w:rPr>
          <w:lang w:val="en-IE"/>
        </w:rPr>
        <w:t xml:space="preserve"> be culled </w:t>
      </w:r>
      <w:r w:rsidR="00F95C80" w:rsidRPr="007E51E0">
        <w:rPr>
          <w:lang w:val="en-IE"/>
        </w:rPr>
        <w:t xml:space="preserve">immediately </w:t>
      </w:r>
      <w:r w:rsidR="00624C8B" w:rsidRPr="007E51E0">
        <w:rPr>
          <w:lang w:val="en-IE"/>
        </w:rPr>
        <w:t>in non</w:t>
      </w:r>
      <w:r w:rsidR="002D09EA" w:rsidRPr="007E51E0">
        <w:rPr>
          <w:lang w:val="en-IE"/>
        </w:rPr>
        <w:t>-</w:t>
      </w:r>
      <w:r w:rsidR="00624C8B" w:rsidRPr="007E51E0">
        <w:rPr>
          <w:lang w:val="en-IE"/>
        </w:rPr>
        <w:t xml:space="preserve">endemic countries to prevent local establishment of environmental reservoirs </w:t>
      </w:r>
      <w:r w:rsidR="00B87389" w:rsidRPr="007E51E0">
        <w:rPr>
          <w:lang w:val="en-IE"/>
        </w:rPr>
        <w:t>that</w:t>
      </w:r>
      <w:r w:rsidR="00F95C80" w:rsidRPr="007E51E0">
        <w:rPr>
          <w:lang w:val="en-IE"/>
        </w:rPr>
        <w:t xml:space="preserve"> would pose an ongoing </w:t>
      </w:r>
      <w:r w:rsidR="00624C8B" w:rsidRPr="007E51E0">
        <w:rPr>
          <w:lang w:val="en-IE"/>
        </w:rPr>
        <w:t xml:space="preserve">risk </w:t>
      </w:r>
      <w:r w:rsidR="00B87389" w:rsidRPr="007E51E0">
        <w:rPr>
          <w:lang w:val="en-IE"/>
        </w:rPr>
        <w:t>of</w:t>
      </w:r>
      <w:r w:rsidR="00624C8B" w:rsidRPr="007E51E0">
        <w:rPr>
          <w:lang w:val="en-IE"/>
        </w:rPr>
        <w:t xml:space="preserve"> infection for humans and animals.</w:t>
      </w:r>
    </w:p>
    <w:p w14:paraId="2A8AA149" w14:textId="34211088" w:rsidR="00B00DB7" w:rsidRPr="007E51E0" w:rsidRDefault="00AB76CC" w:rsidP="0093774D">
      <w:pPr>
        <w:pStyle w:val="paraA0"/>
        <w:spacing w:after="480"/>
        <w:rPr>
          <w:lang w:val="en-IE"/>
        </w:rPr>
      </w:pPr>
      <w:r w:rsidRPr="007E51E0">
        <w:rPr>
          <w:lang w:val="en-IE"/>
        </w:rPr>
        <w:lastRenderedPageBreak/>
        <w:t xml:space="preserve">When handling suspect or known infected animals or fomites, stringent precautions must be taken to prevent self-infection or transmission of the bacteria. Laboratory samples must be securely packaged, kept cool (not frozen) and shipped as outlined in Chapter 1.1.3 </w:t>
      </w:r>
      <w:r w:rsidRPr="007E51E0">
        <w:rPr>
          <w:i/>
          <w:iCs/>
          <w:lang w:val="en-IE"/>
        </w:rPr>
        <w:t xml:space="preserve">Transport of </w:t>
      </w:r>
      <w:r w:rsidR="00295EFE">
        <w:rPr>
          <w:i/>
          <w:iCs/>
          <w:lang w:val="en-IE"/>
        </w:rPr>
        <w:t>biological materials</w:t>
      </w:r>
      <w:r w:rsidRPr="007E51E0">
        <w:rPr>
          <w:lang w:val="en-IE"/>
        </w:rPr>
        <w:t xml:space="preserve">. All manipulations with potentially infected/contaminated material must be performed at an appropriate biosafety and containment level determined by </w:t>
      </w:r>
      <w:proofErr w:type="spellStart"/>
      <w:r w:rsidRPr="007E51E0">
        <w:rPr>
          <w:lang w:val="en-IE"/>
        </w:rPr>
        <w:t>biorisk</w:t>
      </w:r>
      <w:proofErr w:type="spellEnd"/>
      <w:r w:rsidRPr="007E51E0">
        <w:rPr>
          <w:lang w:val="en-IE"/>
        </w:rPr>
        <w:t xml:space="preserve"> analysis (see Chapter 1.1.4 </w:t>
      </w:r>
      <w:r w:rsidRPr="007E51E0">
        <w:rPr>
          <w:i/>
          <w:lang w:val="en-IE"/>
        </w:rPr>
        <w:t xml:space="preserve">Biosafety and biosecurity: </w:t>
      </w:r>
      <w:r w:rsidRPr="007E51E0">
        <w:rPr>
          <w:i/>
          <w:iCs/>
          <w:lang w:val="en-IE"/>
        </w:rPr>
        <w:t>Standard for managing biological risk in the veterinary laboratory and animal facilities</w:t>
      </w:r>
      <w:r w:rsidRPr="007E51E0">
        <w:rPr>
          <w:lang w:val="en-IE"/>
        </w:rPr>
        <w:t>).</w:t>
      </w:r>
    </w:p>
    <w:p w14:paraId="7D35D89A" w14:textId="1147177E" w:rsidR="007E56A8" w:rsidRPr="007E51E0" w:rsidRDefault="007E56A8" w:rsidP="006920F0">
      <w:pPr>
        <w:pStyle w:val="A0"/>
        <w:rPr>
          <w:lang w:val="en-IE"/>
        </w:rPr>
      </w:pPr>
      <w:r w:rsidRPr="007E51E0">
        <w:rPr>
          <w:lang w:val="en-IE"/>
        </w:rPr>
        <w:t>B.  DIAGNOSTIC TECHNIQUES</w:t>
      </w:r>
    </w:p>
    <w:p w14:paraId="15C38B1A" w14:textId="77777777" w:rsidR="007E56A8" w:rsidRPr="007E51E0" w:rsidRDefault="007E56A8" w:rsidP="00633A77">
      <w:pPr>
        <w:pStyle w:val="Tabletitle"/>
        <w:rPr>
          <w:b w:val="0"/>
          <w:lang w:val="en-IE"/>
        </w:rPr>
      </w:pPr>
      <w:r w:rsidRPr="007E51E0">
        <w:rPr>
          <w:lang w:val="en-IE"/>
        </w:rPr>
        <w:t xml:space="preserve">Table </w:t>
      </w:r>
      <w:r w:rsidRPr="007E51E0">
        <w:rPr>
          <w:noProof/>
          <w:lang w:val="en-IE"/>
        </w:rPr>
        <w:t>1</w:t>
      </w:r>
      <w:r w:rsidRPr="007E51E0">
        <w:rPr>
          <w:lang w:val="en-IE"/>
        </w:rPr>
        <w:t xml:space="preserve">. </w:t>
      </w:r>
      <w:bookmarkStart w:id="0" w:name="_Hlk82592286"/>
      <w:r w:rsidRPr="007E51E0">
        <w:rPr>
          <w:b w:val="0"/>
          <w:lang w:val="en-IE"/>
        </w:rPr>
        <w:t>Test methods available</w:t>
      </w:r>
      <w:r w:rsidR="009950DD" w:rsidRPr="007E51E0">
        <w:rPr>
          <w:b w:val="0"/>
          <w:lang w:val="en-IE"/>
        </w:rPr>
        <w:t xml:space="preserve"> for</w:t>
      </w:r>
      <w:r w:rsidR="002266AD" w:rsidRPr="007E51E0">
        <w:rPr>
          <w:b w:val="0"/>
          <w:lang w:val="en-IE"/>
        </w:rPr>
        <w:t xml:space="preserve"> the diagnosis of</w:t>
      </w:r>
      <w:r w:rsidR="009950DD" w:rsidRPr="007E51E0">
        <w:rPr>
          <w:b w:val="0"/>
          <w:lang w:val="en-IE"/>
        </w:rPr>
        <w:t xml:space="preserve"> glanders</w:t>
      </w:r>
      <w:r w:rsidRPr="007E51E0">
        <w:rPr>
          <w:b w:val="0"/>
          <w:lang w:val="en-IE"/>
        </w:rPr>
        <w:t xml:space="preserve"> and their purpose</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264"/>
        <w:gridCol w:w="1134"/>
        <w:gridCol w:w="1418"/>
        <w:gridCol w:w="1275"/>
        <w:gridCol w:w="1134"/>
        <w:gridCol w:w="1134"/>
        <w:gridCol w:w="1688"/>
      </w:tblGrid>
      <w:tr w:rsidR="003A0D1E" w:rsidRPr="007E51E0" w14:paraId="2F8FD1CC" w14:textId="77777777" w:rsidTr="00183945">
        <w:trPr>
          <w:trHeight w:val="402"/>
          <w:tblHeader/>
          <w:jc w:val="center"/>
        </w:trPr>
        <w:tc>
          <w:tcPr>
            <w:tcW w:w="1264" w:type="dxa"/>
            <w:vMerge w:val="restart"/>
            <w:vAlign w:val="center"/>
          </w:tcPr>
          <w:p w14:paraId="3904B60E" w14:textId="0F755F4D" w:rsidR="003A0D1E" w:rsidRPr="007E51E0" w:rsidRDefault="003A0D1E" w:rsidP="003A0D1E">
            <w:pPr>
              <w:pStyle w:val="TableHead"/>
              <w:rPr>
                <w:rFonts w:ascii="Arial" w:hAnsi="Arial" w:cs="Arial"/>
                <w:b w:val="0"/>
                <w:bCs w:val="0"/>
                <w:sz w:val="16"/>
                <w:szCs w:val="16"/>
                <w:lang w:val="en-GB"/>
              </w:rPr>
            </w:pPr>
            <w:r w:rsidRPr="007E51E0">
              <w:rPr>
                <w:rFonts w:ascii="Arial" w:hAnsi="Arial" w:cs="Arial"/>
                <w:lang w:val="en-GB"/>
              </w:rPr>
              <w:t>Method</w:t>
            </w:r>
          </w:p>
        </w:tc>
        <w:tc>
          <w:tcPr>
            <w:tcW w:w="7783" w:type="dxa"/>
            <w:gridSpan w:val="6"/>
            <w:vAlign w:val="center"/>
          </w:tcPr>
          <w:p w14:paraId="04C909F6" w14:textId="77777777" w:rsidR="003A0D1E" w:rsidRPr="007E51E0" w:rsidRDefault="003A0D1E" w:rsidP="008847C9">
            <w:pPr>
              <w:pStyle w:val="Tabletext"/>
              <w:rPr>
                <w:b/>
                <w:bCs w:val="0"/>
                <w:sz w:val="16"/>
                <w:szCs w:val="16"/>
                <w:lang w:val="en-GB"/>
              </w:rPr>
            </w:pPr>
            <w:r w:rsidRPr="007E51E0">
              <w:rPr>
                <w:b/>
                <w:lang w:val="en-GB"/>
              </w:rPr>
              <w:t>Purpose</w:t>
            </w:r>
          </w:p>
        </w:tc>
      </w:tr>
      <w:tr w:rsidR="003A0D1E" w:rsidRPr="007E51E0" w14:paraId="1070E822" w14:textId="77777777" w:rsidTr="00183945">
        <w:trPr>
          <w:trHeight w:val="402"/>
          <w:tblHeader/>
          <w:jc w:val="center"/>
        </w:trPr>
        <w:tc>
          <w:tcPr>
            <w:tcW w:w="1264" w:type="dxa"/>
            <w:vMerge/>
            <w:vAlign w:val="center"/>
          </w:tcPr>
          <w:p w14:paraId="3B705820" w14:textId="77777777" w:rsidR="003A0D1E" w:rsidRPr="007E51E0" w:rsidRDefault="003A0D1E" w:rsidP="008847C9">
            <w:pPr>
              <w:pStyle w:val="TableHead"/>
              <w:jc w:val="both"/>
              <w:rPr>
                <w:rFonts w:ascii="Arial" w:hAnsi="Arial" w:cs="Arial"/>
                <w:sz w:val="16"/>
                <w:szCs w:val="16"/>
                <w:lang w:val="en-GB"/>
              </w:rPr>
            </w:pPr>
          </w:p>
        </w:tc>
        <w:tc>
          <w:tcPr>
            <w:tcW w:w="1134" w:type="dxa"/>
            <w:vAlign w:val="center"/>
          </w:tcPr>
          <w:p w14:paraId="5FF1955F" w14:textId="77777777" w:rsidR="003A0D1E" w:rsidRPr="007E51E0" w:rsidRDefault="003A0D1E" w:rsidP="008847C9">
            <w:pPr>
              <w:pStyle w:val="Tabletext"/>
              <w:rPr>
                <w:sz w:val="16"/>
                <w:szCs w:val="16"/>
                <w:lang w:val="en-GB"/>
              </w:rPr>
            </w:pPr>
            <w:r w:rsidRPr="007E51E0">
              <w:rPr>
                <w:sz w:val="16"/>
                <w:szCs w:val="16"/>
                <w:lang w:val="en-GB"/>
              </w:rPr>
              <w:t>Population freedom from infection</w:t>
            </w:r>
          </w:p>
        </w:tc>
        <w:tc>
          <w:tcPr>
            <w:tcW w:w="1418" w:type="dxa"/>
            <w:vAlign w:val="center"/>
          </w:tcPr>
          <w:p w14:paraId="51FC3DDE" w14:textId="77777777" w:rsidR="003A0D1E" w:rsidRPr="007E51E0" w:rsidRDefault="003A0D1E" w:rsidP="008847C9">
            <w:pPr>
              <w:pStyle w:val="Tabletext"/>
              <w:rPr>
                <w:sz w:val="16"/>
                <w:szCs w:val="16"/>
                <w:lang w:val="en-GB"/>
              </w:rPr>
            </w:pPr>
            <w:r w:rsidRPr="007E51E0">
              <w:rPr>
                <w:sz w:val="16"/>
                <w:szCs w:val="16"/>
                <w:lang w:val="en-GB"/>
              </w:rPr>
              <w:t>Individual animal freedom from infection prior to movement</w:t>
            </w:r>
          </w:p>
        </w:tc>
        <w:tc>
          <w:tcPr>
            <w:tcW w:w="1275" w:type="dxa"/>
            <w:vAlign w:val="center"/>
          </w:tcPr>
          <w:p w14:paraId="54DE5E1D" w14:textId="77777777" w:rsidR="003A0D1E" w:rsidRPr="007E51E0" w:rsidRDefault="003A0D1E" w:rsidP="008847C9">
            <w:pPr>
              <w:pStyle w:val="Tabletext"/>
              <w:rPr>
                <w:sz w:val="16"/>
                <w:szCs w:val="16"/>
                <w:lang w:val="en-GB"/>
              </w:rPr>
            </w:pPr>
            <w:r w:rsidRPr="007E51E0">
              <w:rPr>
                <w:sz w:val="16"/>
                <w:szCs w:val="16"/>
                <w:lang w:val="en-GB"/>
              </w:rPr>
              <w:t>Contribute to eradication policies</w:t>
            </w:r>
          </w:p>
        </w:tc>
        <w:tc>
          <w:tcPr>
            <w:tcW w:w="1134" w:type="dxa"/>
            <w:vAlign w:val="center"/>
          </w:tcPr>
          <w:p w14:paraId="71CD7106" w14:textId="77777777" w:rsidR="003A0D1E" w:rsidRPr="007E51E0" w:rsidRDefault="003A0D1E" w:rsidP="008847C9">
            <w:pPr>
              <w:pStyle w:val="Tabletext"/>
              <w:rPr>
                <w:sz w:val="16"/>
                <w:szCs w:val="16"/>
                <w:lang w:val="en-GB"/>
              </w:rPr>
            </w:pPr>
            <w:r w:rsidRPr="007E51E0">
              <w:rPr>
                <w:sz w:val="16"/>
                <w:szCs w:val="16"/>
                <w:lang w:val="en-GB"/>
              </w:rPr>
              <w:t>Confirmation of clinical cases</w:t>
            </w:r>
          </w:p>
        </w:tc>
        <w:tc>
          <w:tcPr>
            <w:tcW w:w="1134" w:type="dxa"/>
            <w:vAlign w:val="center"/>
          </w:tcPr>
          <w:p w14:paraId="7175E1FF" w14:textId="77777777" w:rsidR="003A0D1E" w:rsidRPr="007E51E0" w:rsidRDefault="003A0D1E" w:rsidP="008847C9">
            <w:pPr>
              <w:pStyle w:val="Tabletext"/>
              <w:rPr>
                <w:sz w:val="16"/>
                <w:szCs w:val="16"/>
                <w:lang w:val="en-GB"/>
              </w:rPr>
            </w:pPr>
            <w:r w:rsidRPr="007E51E0">
              <w:rPr>
                <w:sz w:val="16"/>
                <w:szCs w:val="16"/>
                <w:lang w:val="en-GB"/>
              </w:rPr>
              <w:t>Prevalence of infection – surveillance</w:t>
            </w:r>
          </w:p>
        </w:tc>
        <w:tc>
          <w:tcPr>
            <w:tcW w:w="1688" w:type="dxa"/>
            <w:vAlign w:val="center"/>
          </w:tcPr>
          <w:p w14:paraId="526BE65A" w14:textId="77777777" w:rsidR="003A0D1E" w:rsidRPr="007E51E0" w:rsidRDefault="003A0D1E" w:rsidP="008847C9">
            <w:pPr>
              <w:pStyle w:val="Tabletext"/>
              <w:rPr>
                <w:sz w:val="16"/>
                <w:szCs w:val="16"/>
                <w:lang w:val="en-GB"/>
              </w:rPr>
            </w:pPr>
            <w:r w:rsidRPr="007E51E0">
              <w:rPr>
                <w:sz w:val="16"/>
                <w:szCs w:val="16"/>
                <w:lang w:val="en-GB"/>
              </w:rPr>
              <w:t>Immune status in individual animals or populations post-vaccination</w:t>
            </w:r>
          </w:p>
        </w:tc>
      </w:tr>
      <w:tr w:rsidR="003A0D1E" w:rsidRPr="007E51E0" w14:paraId="739BFC30" w14:textId="77777777" w:rsidTr="00183945">
        <w:trPr>
          <w:trHeight w:val="402"/>
          <w:jc w:val="center"/>
        </w:trPr>
        <w:tc>
          <w:tcPr>
            <w:tcW w:w="9047" w:type="dxa"/>
            <w:gridSpan w:val="7"/>
            <w:shd w:val="pct10" w:color="auto" w:fill="auto"/>
          </w:tcPr>
          <w:p w14:paraId="5686273C" w14:textId="67CCF598" w:rsidR="003A0D1E" w:rsidRPr="007E51E0" w:rsidRDefault="00933299" w:rsidP="008847C9">
            <w:pPr>
              <w:pStyle w:val="Tabletext"/>
              <w:rPr>
                <w:lang w:val="en-GB"/>
              </w:rPr>
            </w:pPr>
            <w:r>
              <w:rPr>
                <w:b/>
                <w:sz w:val="16"/>
                <w:szCs w:val="16"/>
              </w:rPr>
              <w:t>Detection of the a</w:t>
            </w:r>
            <w:r w:rsidR="003A0D1E" w:rsidRPr="007E51E0">
              <w:rPr>
                <w:b/>
                <w:sz w:val="16"/>
                <w:szCs w:val="16"/>
              </w:rPr>
              <w:t>gent</w:t>
            </w:r>
          </w:p>
        </w:tc>
      </w:tr>
      <w:tr w:rsidR="003A0D1E" w:rsidRPr="007E51E0" w14:paraId="3DD7C253" w14:textId="77777777" w:rsidTr="00183945">
        <w:trPr>
          <w:trHeight w:val="402"/>
          <w:jc w:val="center"/>
        </w:trPr>
        <w:tc>
          <w:tcPr>
            <w:tcW w:w="1264" w:type="dxa"/>
            <w:vAlign w:val="center"/>
          </w:tcPr>
          <w:p w14:paraId="4226C402" w14:textId="2FAEB86B" w:rsidR="003A0D1E" w:rsidRPr="007E51E0" w:rsidRDefault="003A0D1E" w:rsidP="003A0D1E">
            <w:pPr>
              <w:spacing w:before="120" w:after="120" w:line="240" w:lineRule="auto"/>
              <w:jc w:val="center"/>
              <w:rPr>
                <w:rFonts w:ascii="Arial" w:hAnsi="Arial" w:cs="Arial"/>
                <w:b/>
                <w:bCs/>
                <w:sz w:val="16"/>
                <w:szCs w:val="16"/>
              </w:rPr>
            </w:pPr>
            <w:r w:rsidRPr="007E51E0">
              <w:rPr>
                <w:rFonts w:ascii="Arial" w:hAnsi="Arial" w:cs="Arial"/>
                <w:b/>
                <w:sz w:val="16"/>
                <w:szCs w:val="16"/>
                <w:lang w:val="en-IE"/>
              </w:rPr>
              <w:t>PCR</w:t>
            </w:r>
          </w:p>
        </w:tc>
        <w:tc>
          <w:tcPr>
            <w:tcW w:w="1134" w:type="dxa"/>
            <w:vAlign w:val="center"/>
          </w:tcPr>
          <w:p w14:paraId="643A6341" w14:textId="5CE5AE7F" w:rsidR="003A0D1E" w:rsidRPr="007E51E0" w:rsidRDefault="003A0D1E" w:rsidP="003A0D1E">
            <w:pPr>
              <w:pStyle w:val="Tabletext"/>
              <w:rPr>
                <w:lang w:val="en-GB"/>
              </w:rPr>
            </w:pPr>
            <w:r w:rsidRPr="007E51E0">
              <w:rPr>
                <w:sz w:val="16"/>
                <w:szCs w:val="16"/>
              </w:rPr>
              <w:t>–</w:t>
            </w:r>
          </w:p>
        </w:tc>
        <w:tc>
          <w:tcPr>
            <w:tcW w:w="1418" w:type="dxa"/>
            <w:vAlign w:val="center"/>
          </w:tcPr>
          <w:p w14:paraId="2EFEAF59" w14:textId="72641EDE" w:rsidR="003A0D1E" w:rsidRPr="007E51E0" w:rsidRDefault="003A0D1E" w:rsidP="003A0D1E">
            <w:pPr>
              <w:pStyle w:val="Tabletext"/>
              <w:rPr>
                <w:lang w:val="en-GB"/>
              </w:rPr>
            </w:pPr>
            <w:r w:rsidRPr="007E51E0">
              <w:rPr>
                <w:sz w:val="16"/>
                <w:szCs w:val="16"/>
              </w:rPr>
              <w:t>–</w:t>
            </w:r>
          </w:p>
        </w:tc>
        <w:tc>
          <w:tcPr>
            <w:tcW w:w="1275" w:type="dxa"/>
            <w:vAlign w:val="center"/>
          </w:tcPr>
          <w:p w14:paraId="7B99B109" w14:textId="06011799" w:rsidR="003A0D1E" w:rsidRPr="007E51E0" w:rsidRDefault="003A0D1E" w:rsidP="003A0D1E">
            <w:pPr>
              <w:pStyle w:val="Tabletext"/>
              <w:rPr>
                <w:lang w:val="en-GB"/>
              </w:rPr>
            </w:pPr>
            <w:r w:rsidRPr="007E51E0">
              <w:rPr>
                <w:sz w:val="16"/>
                <w:szCs w:val="16"/>
              </w:rPr>
              <w:t>–</w:t>
            </w:r>
          </w:p>
        </w:tc>
        <w:tc>
          <w:tcPr>
            <w:tcW w:w="1134" w:type="dxa"/>
            <w:vAlign w:val="center"/>
          </w:tcPr>
          <w:p w14:paraId="52299FF4" w14:textId="72F3001A" w:rsidR="003A0D1E" w:rsidRPr="007E51E0" w:rsidRDefault="003A0D1E" w:rsidP="003A0D1E">
            <w:pPr>
              <w:pStyle w:val="Tabletext"/>
              <w:rPr>
                <w:lang w:val="en-GB"/>
              </w:rPr>
            </w:pPr>
            <w:r w:rsidRPr="007E51E0">
              <w:rPr>
                <w:sz w:val="16"/>
                <w:szCs w:val="16"/>
              </w:rPr>
              <w:t>+</w:t>
            </w:r>
          </w:p>
        </w:tc>
        <w:tc>
          <w:tcPr>
            <w:tcW w:w="1134" w:type="dxa"/>
            <w:vAlign w:val="center"/>
          </w:tcPr>
          <w:p w14:paraId="21EA2CE2" w14:textId="6F57D623" w:rsidR="003A0D1E" w:rsidRPr="007E51E0" w:rsidRDefault="003A0D1E" w:rsidP="003A0D1E">
            <w:pPr>
              <w:pStyle w:val="Tabletext"/>
              <w:rPr>
                <w:lang w:val="en-GB"/>
              </w:rPr>
            </w:pPr>
            <w:r w:rsidRPr="007E51E0">
              <w:rPr>
                <w:sz w:val="16"/>
                <w:szCs w:val="16"/>
              </w:rPr>
              <w:t>–</w:t>
            </w:r>
          </w:p>
        </w:tc>
        <w:tc>
          <w:tcPr>
            <w:tcW w:w="1688" w:type="dxa"/>
            <w:vAlign w:val="center"/>
          </w:tcPr>
          <w:p w14:paraId="2FC89A64" w14:textId="50DC3255" w:rsidR="003A0D1E" w:rsidRPr="007E51E0" w:rsidRDefault="00AE0444" w:rsidP="003A0D1E">
            <w:pPr>
              <w:pStyle w:val="Tabletext"/>
              <w:rPr>
                <w:sz w:val="16"/>
                <w:szCs w:val="16"/>
                <w:lang w:val="en-GB"/>
              </w:rPr>
            </w:pPr>
            <w:r>
              <w:rPr>
                <w:sz w:val="16"/>
                <w:szCs w:val="16"/>
                <w:lang w:val="en-GB"/>
              </w:rPr>
              <w:t>–</w:t>
            </w:r>
          </w:p>
        </w:tc>
      </w:tr>
      <w:tr w:rsidR="003A0D1E" w:rsidRPr="007E51E0" w14:paraId="434BCB1B" w14:textId="77777777" w:rsidTr="00183945">
        <w:trPr>
          <w:trHeight w:val="402"/>
          <w:jc w:val="center"/>
        </w:trPr>
        <w:tc>
          <w:tcPr>
            <w:tcW w:w="1264" w:type="dxa"/>
            <w:vAlign w:val="center"/>
          </w:tcPr>
          <w:p w14:paraId="1946B562" w14:textId="104DCAEC" w:rsidR="003A0D1E" w:rsidRPr="007E51E0" w:rsidRDefault="003A0D1E" w:rsidP="003A0D1E">
            <w:pPr>
              <w:spacing w:before="120" w:after="120" w:line="240" w:lineRule="auto"/>
              <w:jc w:val="center"/>
              <w:rPr>
                <w:rFonts w:ascii="Arial" w:hAnsi="Arial" w:cs="Arial"/>
                <w:b/>
                <w:bCs/>
                <w:sz w:val="16"/>
                <w:szCs w:val="16"/>
              </w:rPr>
            </w:pPr>
            <w:r w:rsidRPr="007E51E0">
              <w:rPr>
                <w:rFonts w:ascii="Arial" w:hAnsi="Arial" w:cs="Arial"/>
                <w:b/>
                <w:sz w:val="16"/>
                <w:szCs w:val="16"/>
                <w:lang w:val="en-IE"/>
              </w:rPr>
              <w:t>Culture</w:t>
            </w:r>
          </w:p>
        </w:tc>
        <w:tc>
          <w:tcPr>
            <w:tcW w:w="1134" w:type="dxa"/>
            <w:vAlign w:val="center"/>
          </w:tcPr>
          <w:p w14:paraId="48A9322A" w14:textId="136E6DBE" w:rsidR="003A0D1E" w:rsidRPr="007E51E0" w:rsidRDefault="003A0D1E" w:rsidP="003A0D1E">
            <w:pPr>
              <w:pStyle w:val="Tabletext"/>
              <w:rPr>
                <w:lang w:val="en-GB"/>
              </w:rPr>
            </w:pPr>
            <w:r w:rsidRPr="007E51E0">
              <w:rPr>
                <w:sz w:val="16"/>
                <w:szCs w:val="16"/>
              </w:rPr>
              <w:t>–</w:t>
            </w:r>
          </w:p>
        </w:tc>
        <w:tc>
          <w:tcPr>
            <w:tcW w:w="1418" w:type="dxa"/>
            <w:vAlign w:val="center"/>
          </w:tcPr>
          <w:p w14:paraId="1DF64CA0" w14:textId="0E74D9BC" w:rsidR="003A0D1E" w:rsidRPr="007E51E0" w:rsidRDefault="003A0D1E" w:rsidP="003A0D1E">
            <w:pPr>
              <w:pStyle w:val="Tabletext"/>
              <w:rPr>
                <w:lang w:val="en-GB"/>
              </w:rPr>
            </w:pPr>
            <w:r w:rsidRPr="007E51E0">
              <w:rPr>
                <w:sz w:val="16"/>
                <w:szCs w:val="16"/>
              </w:rPr>
              <w:t>–</w:t>
            </w:r>
          </w:p>
        </w:tc>
        <w:tc>
          <w:tcPr>
            <w:tcW w:w="1275" w:type="dxa"/>
            <w:vAlign w:val="center"/>
          </w:tcPr>
          <w:p w14:paraId="0CE66806" w14:textId="33D1AE41" w:rsidR="003A0D1E" w:rsidRPr="007E51E0" w:rsidRDefault="003A0D1E" w:rsidP="003A0D1E">
            <w:pPr>
              <w:pStyle w:val="Tabletext"/>
              <w:rPr>
                <w:lang w:val="en-GB"/>
              </w:rPr>
            </w:pPr>
            <w:r w:rsidRPr="007E51E0">
              <w:rPr>
                <w:sz w:val="16"/>
                <w:szCs w:val="16"/>
              </w:rPr>
              <w:t>–</w:t>
            </w:r>
          </w:p>
        </w:tc>
        <w:tc>
          <w:tcPr>
            <w:tcW w:w="1134" w:type="dxa"/>
            <w:vAlign w:val="center"/>
          </w:tcPr>
          <w:p w14:paraId="7E31761B" w14:textId="0E16CCDB" w:rsidR="003A0D1E" w:rsidRPr="007E51E0" w:rsidRDefault="003A0D1E" w:rsidP="003A0D1E">
            <w:pPr>
              <w:pStyle w:val="Tabletext"/>
              <w:rPr>
                <w:lang w:val="en-GB"/>
              </w:rPr>
            </w:pPr>
            <w:r w:rsidRPr="007E51E0">
              <w:rPr>
                <w:sz w:val="16"/>
                <w:szCs w:val="16"/>
              </w:rPr>
              <w:t>+</w:t>
            </w:r>
          </w:p>
        </w:tc>
        <w:tc>
          <w:tcPr>
            <w:tcW w:w="1134" w:type="dxa"/>
            <w:vAlign w:val="center"/>
          </w:tcPr>
          <w:p w14:paraId="4A8CF866" w14:textId="1BBDADDA" w:rsidR="003A0D1E" w:rsidRPr="007E51E0" w:rsidRDefault="003A0D1E" w:rsidP="003A0D1E">
            <w:pPr>
              <w:pStyle w:val="Tabletext"/>
              <w:rPr>
                <w:lang w:val="en-GB"/>
              </w:rPr>
            </w:pPr>
            <w:r w:rsidRPr="007E51E0">
              <w:rPr>
                <w:sz w:val="16"/>
                <w:szCs w:val="16"/>
              </w:rPr>
              <w:t>–</w:t>
            </w:r>
          </w:p>
        </w:tc>
        <w:tc>
          <w:tcPr>
            <w:tcW w:w="1688" w:type="dxa"/>
            <w:vAlign w:val="center"/>
          </w:tcPr>
          <w:p w14:paraId="1D222E02" w14:textId="334BF5B5" w:rsidR="003A0D1E" w:rsidRPr="007E51E0" w:rsidRDefault="00AE0444" w:rsidP="003A0D1E">
            <w:pPr>
              <w:pStyle w:val="Tabletext"/>
              <w:rPr>
                <w:lang w:val="en-GB"/>
              </w:rPr>
            </w:pPr>
            <w:r>
              <w:rPr>
                <w:sz w:val="16"/>
                <w:szCs w:val="16"/>
                <w:lang w:val="en-GB"/>
              </w:rPr>
              <w:t>–</w:t>
            </w:r>
          </w:p>
        </w:tc>
      </w:tr>
      <w:tr w:rsidR="003A0D1E" w:rsidRPr="007E51E0" w14:paraId="6801A766" w14:textId="77777777" w:rsidTr="00183945">
        <w:trPr>
          <w:trHeight w:val="402"/>
          <w:jc w:val="center"/>
        </w:trPr>
        <w:tc>
          <w:tcPr>
            <w:tcW w:w="9047" w:type="dxa"/>
            <w:gridSpan w:val="7"/>
            <w:shd w:val="pct10" w:color="auto" w:fill="auto"/>
          </w:tcPr>
          <w:p w14:paraId="319CD0C3" w14:textId="77777777" w:rsidR="003A0D1E" w:rsidRPr="007E51E0" w:rsidRDefault="003A0D1E" w:rsidP="003A0D1E">
            <w:pPr>
              <w:pStyle w:val="Tabletext"/>
              <w:rPr>
                <w:lang w:val="en-GB"/>
              </w:rPr>
            </w:pPr>
            <w:r w:rsidRPr="007E51E0">
              <w:rPr>
                <w:b/>
                <w:sz w:val="16"/>
                <w:szCs w:val="16"/>
              </w:rPr>
              <w:t>Detection of immune response</w:t>
            </w:r>
          </w:p>
        </w:tc>
      </w:tr>
      <w:tr w:rsidR="003A0D1E" w:rsidRPr="007E51E0" w14:paraId="57AF711E" w14:textId="77777777" w:rsidTr="00183945">
        <w:trPr>
          <w:trHeight w:val="402"/>
          <w:jc w:val="center"/>
        </w:trPr>
        <w:tc>
          <w:tcPr>
            <w:tcW w:w="1264" w:type="dxa"/>
            <w:vAlign w:val="center"/>
          </w:tcPr>
          <w:p w14:paraId="227FD6BD" w14:textId="3B81C85E" w:rsidR="003A0D1E" w:rsidRPr="007E51E0" w:rsidRDefault="003A0D1E" w:rsidP="003A0D1E">
            <w:pPr>
              <w:spacing w:before="120" w:after="120" w:line="240" w:lineRule="auto"/>
              <w:jc w:val="center"/>
              <w:rPr>
                <w:rFonts w:ascii="Arial" w:hAnsi="Arial" w:cs="Arial"/>
                <w:b/>
                <w:bCs/>
                <w:sz w:val="16"/>
                <w:szCs w:val="16"/>
              </w:rPr>
            </w:pPr>
            <w:r w:rsidRPr="007E51E0">
              <w:rPr>
                <w:rFonts w:ascii="Arial" w:hAnsi="Arial" w:cs="Arial"/>
                <w:b/>
                <w:sz w:val="16"/>
                <w:szCs w:val="16"/>
                <w:lang w:val="en-IE"/>
              </w:rPr>
              <w:t>Complement fixation</w:t>
            </w:r>
          </w:p>
        </w:tc>
        <w:tc>
          <w:tcPr>
            <w:tcW w:w="1134" w:type="dxa"/>
            <w:vAlign w:val="center"/>
          </w:tcPr>
          <w:p w14:paraId="1D5DCC9B" w14:textId="7CF0A446" w:rsidR="003A0D1E" w:rsidRPr="007E51E0" w:rsidRDefault="003A0D1E" w:rsidP="003A0D1E">
            <w:pPr>
              <w:pStyle w:val="Tabletext"/>
              <w:rPr>
                <w:lang w:val="en-GB"/>
              </w:rPr>
            </w:pPr>
            <w:r w:rsidRPr="007E51E0">
              <w:rPr>
                <w:sz w:val="16"/>
                <w:szCs w:val="16"/>
              </w:rPr>
              <w:t>++</w:t>
            </w:r>
          </w:p>
        </w:tc>
        <w:tc>
          <w:tcPr>
            <w:tcW w:w="1418" w:type="dxa"/>
            <w:vAlign w:val="center"/>
          </w:tcPr>
          <w:p w14:paraId="327F15C6" w14:textId="212B3940" w:rsidR="003A0D1E" w:rsidRPr="007E51E0" w:rsidRDefault="003A0D1E" w:rsidP="003A0D1E">
            <w:pPr>
              <w:pStyle w:val="Tabletext"/>
              <w:rPr>
                <w:lang w:val="en-GB"/>
              </w:rPr>
            </w:pPr>
            <w:r w:rsidRPr="007E51E0">
              <w:rPr>
                <w:sz w:val="16"/>
                <w:szCs w:val="16"/>
              </w:rPr>
              <w:t>++</w:t>
            </w:r>
            <w:r w:rsidRPr="007E51E0">
              <w:rPr>
                <w:rStyle w:val="Appelnotedebasdep"/>
                <w:sz w:val="16"/>
                <w:szCs w:val="16"/>
              </w:rPr>
              <w:footnoteReference w:id="2"/>
            </w:r>
          </w:p>
        </w:tc>
        <w:tc>
          <w:tcPr>
            <w:tcW w:w="1275" w:type="dxa"/>
            <w:vAlign w:val="center"/>
          </w:tcPr>
          <w:p w14:paraId="50732100" w14:textId="3DDA81E1" w:rsidR="003A0D1E" w:rsidRPr="007E51E0" w:rsidRDefault="003A0D1E" w:rsidP="003A0D1E">
            <w:pPr>
              <w:pStyle w:val="Tabletext"/>
              <w:rPr>
                <w:lang w:val="en-GB"/>
              </w:rPr>
            </w:pPr>
            <w:r w:rsidRPr="007E51E0">
              <w:rPr>
                <w:sz w:val="16"/>
                <w:szCs w:val="16"/>
              </w:rPr>
              <w:t>+++</w:t>
            </w:r>
          </w:p>
        </w:tc>
        <w:tc>
          <w:tcPr>
            <w:tcW w:w="1134" w:type="dxa"/>
            <w:vAlign w:val="center"/>
          </w:tcPr>
          <w:p w14:paraId="6BC5CF32" w14:textId="02B56464" w:rsidR="003A0D1E" w:rsidRPr="007E51E0" w:rsidRDefault="003A0D1E" w:rsidP="003A0D1E">
            <w:pPr>
              <w:pStyle w:val="Tabletext"/>
              <w:rPr>
                <w:lang w:val="en-GB"/>
              </w:rPr>
            </w:pPr>
            <w:r w:rsidRPr="007E51E0">
              <w:rPr>
                <w:sz w:val="16"/>
                <w:szCs w:val="16"/>
              </w:rPr>
              <w:t>+</w:t>
            </w:r>
          </w:p>
        </w:tc>
        <w:tc>
          <w:tcPr>
            <w:tcW w:w="1134" w:type="dxa"/>
            <w:vAlign w:val="center"/>
          </w:tcPr>
          <w:p w14:paraId="1EAA94F9" w14:textId="03D90708" w:rsidR="003A0D1E" w:rsidRPr="007E51E0" w:rsidRDefault="003A0D1E" w:rsidP="003A0D1E">
            <w:pPr>
              <w:pStyle w:val="Tabletext"/>
              <w:rPr>
                <w:lang w:val="en-GB"/>
              </w:rPr>
            </w:pPr>
            <w:r w:rsidRPr="007E51E0">
              <w:rPr>
                <w:sz w:val="16"/>
                <w:szCs w:val="16"/>
              </w:rPr>
              <w:t>+++</w:t>
            </w:r>
          </w:p>
        </w:tc>
        <w:tc>
          <w:tcPr>
            <w:tcW w:w="1688" w:type="dxa"/>
            <w:vAlign w:val="center"/>
          </w:tcPr>
          <w:p w14:paraId="1121C5D7" w14:textId="270E4DE9" w:rsidR="003A0D1E" w:rsidRPr="007E51E0" w:rsidRDefault="00AE0444" w:rsidP="003A0D1E">
            <w:pPr>
              <w:pStyle w:val="Tabletext"/>
              <w:rPr>
                <w:lang w:val="en-GB"/>
              </w:rPr>
            </w:pPr>
            <w:r>
              <w:rPr>
                <w:sz w:val="16"/>
                <w:szCs w:val="16"/>
                <w:lang w:val="en-GB"/>
              </w:rPr>
              <w:t>–</w:t>
            </w:r>
          </w:p>
        </w:tc>
      </w:tr>
      <w:tr w:rsidR="00A94717" w:rsidRPr="007E51E0" w14:paraId="11855DA0" w14:textId="77777777" w:rsidTr="000538CC">
        <w:trPr>
          <w:trHeight w:val="402"/>
          <w:jc w:val="center"/>
        </w:trPr>
        <w:tc>
          <w:tcPr>
            <w:tcW w:w="1264" w:type="dxa"/>
            <w:shd w:val="clear" w:color="auto" w:fill="auto"/>
            <w:vAlign w:val="center"/>
          </w:tcPr>
          <w:p w14:paraId="19996217" w14:textId="6BD29FAE" w:rsidR="00A94717" w:rsidRPr="006264C8" w:rsidRDefault="00A94717" w:rsidP="00A94717">
            <w:pPr>
              <w:spacing w:before="120" w:after="120" w:line="240" w:lineRule="auto"/>
              <w:jc w:val="center"/>
              <w:rPr>
                <w:rFonts w:ascii="Arial" w:hAnsi="Arial" w:cs="Arial"/>
                <w:b/>
                <w:sz w:val="16"/>
                <w:szCs w:val="16"/>
                <w:u w:val="double"/>
                <w:lang w:val="en-IE"/>
              </w:rPr>
            </w:pPr>
            <w:r w:rsidRPr="006264C8">
              <w:rPr>
                <w:rFonts w:ascii="Arial" w:hAnsi="Arial" w:cs="Arial"/>
                <w:b/>
                <w:sz w:val="16"/>
                <w:szCs w:val="16"/>
                <w:u w:val="double"/>
                <w:lang w:val="en-IE"/>
              </w:rPr>
              <w:t xml:space="preserve">Double </w:t>
            </w:r>
            <w:r w:rsidR="00F11040" w:rsidRPr="000538CC">
              <w:rPr>
                <w:rFonts w:ascii="Arial" w:hAnsi="Arial" w:cs="Arial"/>
                <w:b/>
                <w:sz w:val="16"/>
                <w:szCs w:val="16"/>
                <w:u w:val="double"/>
                <w:lang w:val="en-IE"/>
              </w:rPr>
              <w:t>recombinant</w:t>
            </w:r>
            <w:r w:rsidR="00F11040">
              <w:rPr>
                <w:rFonts w:ascii="Arial" w:hAnsi="Arial" w:cs="Arial"/>
                <w:b/>
                <w:sz w:val="16"/>
                <w:szCs w:val="16"/>
                <w:u w:val="double"/>
                <w:lang w:val="en-IE"/>
              </w:rPr>
              <w:t xml:space="preserve"> </w:t>
            </w:r>
            <w:r w:rsidRPr="006264C8">
              <w:rPr>
                <w:rFonts w:ascii="Arial" w:hAnsi="Arial" w:cs="Arial"/>
                <w:b/>
                <w:sz w:val="16"/>
                <w:szCs w:val="16"/>
                <w:u w:val="double"/>
                <w:lang w:val="en-IE"/>
              </w:rPr>
              <w:t>antigen ELISA</w:t>
            </w:r>
          </w:p>
        </w:tc>
        <w:tc>
          <w:tcPr>
            <w:tcW w:w="1134" w:type="dxa"/>
            <w:shd w:val="clear" w:color="auto" w:fill="auto"/>
            <w:vAlign w:val="center"/>
          </w:tcPr>
          <w:p w14:paraId="2C54D410" w14:textId="76475E52" w:rsidR="00A94717" w:rsidRPr="006264C8" w:rsidRDefault="00A94717" w:rsidP="00A94717">
            <w:pPr>
              <w:pStyle w:val="Tabletext"/>
              <w:rPr>
                <w:sz w:val="16"/>
                <w:szCs w:val="16"/>
                <w:u w:val="double"/>
              </w:rPr>
            </w:pPr>
            <w:r w:rsidRPr="006264C8">
              <w:rPr>
                <w:sz w:val="16"/>
                <w:szCs w:val="16"/>
                <w:u w:val="double"/>
              </w:rPr>
              <w:t>++</w:t>
            </w:r>
          </w:p>
        </w:tc>
        <w:tc>
          <w:tcPr>
            <w:tcW w:w="1418" w:type="dxa"/>
            <w:shd w:val="clear" w:color="auto" w:fill="auto"/>
            <w:vAlign w:val="center"/>
          </w:tcPr>
          <w:p w14:paraId="4D583D22" w14:textId="2AFA6F65" w:rsidR="00A94717" w:rsidRPr="006264C8" w:rsidRDefault="00A94717" w:rsidP="00A94717">
            <w:pPr>
              <w:pStyle w:val="Tabletext"/>
              <w:rPr>
                <w:sz w:val="16"/>
                <w:szCs w:val="16"/>
                <w:u w:val="double"/>
              </w:rPr>
            </w:pPr>
            <w:r w:rsidRPr="006264C8">
              <w:rPr>
                <w:sz w:val="16"/>
                <w:szCs w:val="16"/>
                <w:u w:val="double"/>
              </w:rPr>
              <w:t>++</w:t>
            </w:r>
          </w:p>
        </w:tc>
        <w:tc>
          <w:tcPr>
            <w:tcW w:w="1275" w:type="dxa"/>
            <w:shd w:val="clear" w:color="auto" w:fill="auto"/>
            <w:vAlign w:val="center"/>
          </w:tcPr>
          <w:p w14:paraId="4D2E1A97" w14:textId="6490360E" w:rsidR="00A94717" w:rsidRPr="006264C8" w:rsidRDefault="00A94717" w:rsidP="00A94717">
            <w:pPr>
              <w:pStyle w:val="Tabletext"/>
              <w:rPr>
                <w:sz w:val="16"/>
                <w:szCs w:val="16"/>
                <w:u w:val="double"/>
              </w:rPr>
            </w:pPr>
            <w:r w:rsidRPr="006264C8">
              <w:rPr>
                <w:sz w:val="16"/>
                <w:szCs w:val="16"/>
                <w:u w:val="double"/>
              </w:rPr>
              <w:t>+++</w:t>
            </w:r>
          </w:p>
        </w:tc>
        <w:tc>
          <w:tcPr>
            <w:tcW w:w="1134" w:type="dxa"/>
            <w:shd w:val="clear" w:color="auto" w:fill="auto"/>
            <w:vAlign w:val="center"/>
          </w:tcPr>
          <w:p w14:paraId="7CBEF981" w14:textId="0B76920D" w:rsidR="00A94717" w:rsidRPr="006264C8" w:rsidRDefault="00A94717" w:rsidP="00A94717">
            <w:pPr>
              <w:pStyle w:val="Tabletext"/>
              <w:rPr>
                <w:sz w:val="16"/>
                <w:szCs w:val="16"/>
                <w:u w:val="double"/>
              </w:rPr>
            </w:pPr>
            <w:r w:rsidRPr="006264C8">
              <w:rPr>
                <w:sz w:val="16"/>
                <w:szCs w:val="16"/>
                <w:u w:val="double"/>
              </w:rPr>
              <w:t>+</w:t>
            </w:r>
          </w:p>
        </w:tc>
        <w:tc>
          <w:tcPr>
            <w:tcW w:w="1134" w:type="dxa"/>
            <w:shd w:val="clear" w:color="auto" w:fill="auto"/>
            <w:vAlign w:val="center"/>
          </w:tcPr>
          <w:p w14:paraId="4576C439" w14:textId="5ECDC3D4" w:rsidR="00A94717" w:rsidRPr="006264C8" w:rsidRDefault="00A94717" w:rsidP="00A94717">
            <w:pPr>
              <w:pStyle w:val="Tabletext"/>
              <w:rPr>
                <w:sz w:val="16"/>
                <w:szCs w:val="16"/>
                <w:u w:val="double"/>
              </w:rPr>
            </w:pPr>
            <w:r w:rsidRPr="006264C8">
              <w:rPr>
                <w:sz w:val="16"/>
                <w:szCs w:val="16"/>
                <w:u w:val="double"/>
              </w:rPr>
              <w:t>+++</w:t>
            </w:r>
          </w:p>
        </w:tc>
        <w:tc>
          <w:tcPr>
            <w:tcW w:w="1688" w:type="dxa"/>
            <w:shd w:val="clear" w:color="auto" w:fill="auto"/>
            <w:vAlign w:val="center"/>
          </w:tcPr>
          <w:p w14:paraId="78528A02" w14:textId="04235FA8" w:rsidR="00A94717" w:rsidRPr="00A94717" w:rsidRDefault="000538CC" w:rsidP="00A94717">
            <w:pPr>
              <w:pStyle w:val="Tabletext"/>
              <w:rPr>
                <w:sz w:val="16"/>
                <w:szCs w:val="16"/>
                <w:u w:val="double"/>
                <w:lang w:val="en-GB"/>
              </w:rPr>
            </w:pPr>
            <w:r>
              <w:rPr>
                <w:sz w:val="16"/>
                <w:szCs w:val="16"/>
                <w:u w:val="double"/>
                <w:lang w:val="en-GB"/>
              </w:rPr>
              <w:t>–</w:t>
            </w:r>
          </w:p>
        </w:tc>
      </w:tr>
      <w:tr w:rsidR="00884AF0" w:rsidRPr="007E51E0" w14:paraId="14B04B54" w14:textId="77777777" w:rsidTr="000538CC">
        <w:trPr>
          <w:trHeight w:val="402"/>
          <w:jc w:val="center"/>
        </w:trPr>
        <w:tc>
          <w:tcPr>
            <w:tcW w:w="1264" w:type="dxa"/>
            <w:shd w:val="clear" w:color="auto" w:fill="auto"/>
            <w:vAlign w:val="center"/>
          </w:tcPr>
          <w:p w14:paraId="0D3123DA" w14:textId="77777777" w:rsidR="00884AF0" w:rsidRPr="007E51E0" w:rsidRDefault="00884AF0" w:rsidP="005F25E6">
            <w:pPr>
              <w:spacing w:before="120" w:after="120" w:line="240" w:lineRule="auto"/>
              <w:jc w:val="center"/>
              <w:rPr>
                <w:rFonts w:ascii="Arial" w:hAnsi="Arial" w:cs="Arial"/>
                <w:b/>
                <w:bCs/>
                <w:sz w:val="16"/>
                <w:szCs w:val="16"/>
              </w:rPr>
            </w:pPr>
            <w:r w:rsidRPr="007E51E0">
              <w:rPr>
                <w:rFonts w:ascii="Arial" w:hAnsi="Arial" w:cs="Arial"/>
                <w:b/>
                <w:sz w:val="16"/>
                <w:szCs w:val="16"/>
                <w:lang w:val="en-IE"/>
              </w:rPr>
              <w:t>ELISA</w:t>
            </w:r>
          </w:p>
        </w:tc>
        <w:tc>
          <w:tcPr>
            <w:tcW w:w="1134" w:type="dxa"/>
            <w:shd w:val="clear" w:color="auto" w:fill="auto"/>
            <w:vAlign w:val="center"/>
          </w:tcPr>
          <w:p w14:paraId="31391FDD" w14:textId="77777777" w:rsidR="00884AF0" w:rsidRPr="007E51E0" w:rsidRDefault="00884AF0" w:rsidP="005F25E6">
            <w:pPr>
              <w:pStyle w:val="Tabletext"/>
              <w:rPr>
                <w:lang w:val="en-GB"/>
              </w:rPr>
            </w:pPr>
            <w:r w:rsidRPr="007E51E0">
              <w:rPr>
                <w:sz w:val="16"/>
                <w:szCs w:val="16"/>
              </w:rPr>
              <w:t>+</w:t>
            </w:r>
          </w:p>
        </w:tc>
        <w:tc>
          <w:tcPr>
            <w:tcW w:w="1418" w:type="dxa"/>
            <w:shd w:val="clear" w:color="auto" w:fill="auto"/>
            <w:vAlign w:val="center"/>
          </w:tcPr>
          <w:p w14:paraId="77882791" w14:textId="77777777" w:rsidR="00884AF0" w:rsidRPr="007E51E0" w:rsidRDefault="00884AF0" w:rsidP="005F25E6">
            <w:pPr>
              <w:pStyle w:val="Tabletext"/>
              <w:rPr>
                <w:lang w:val="en-GB"/>
              </w:rPr>
            </w:pPr>
            <w:r w:rsidRPr="007E51E0">
              <w:rPr>
                <w:sz w:val="16"/>
                <w:szCs w:val="16"/>
              </w:rPr>
              <w:t>+</w:t>
            </w:r>
          </w:p>
        </w:tc>
        <w:tc>
          <w:tcPr>
            <w:tcW w:w="1275" w:type="dxa"/>
            <w:shd w:val="clear" w:color="auto" w:fill="auto"/>
            <w:vAlign w:val="center"/>
          </w:tcPr>
          <w:p w14:paraId="3D62CE0D" w14:textId="77777777" w:rsidR="00884AF0" w:rsidRPr="007E51E0" w:rsidRDefault="00884AF0" w:rsidP="005F25E6">
            <w:pPr>
              <w:pStyle w:val="Tabletext"/>
              <w:rPr>
                <w:lang w:val="en-GB"/>
              </w:rPr>
            </w:pPr>
            <w:r w:rsidRPr="007E51E0">
              <w:rPr>
                <w:sz w:val="16"/>
                <w:szCs w:val="16"/>
              </w:rPr>
              <w:t>++</w:t>
            </w:r>
          </w:p>
        </w:tc>
        <w:tc>
          <w:tcPr>
            <w:tcW w:w="1134" w:type="dxa"/>
            <w:shd w:val="clear" w:color="auto" w:fill="auto"/>
            <w:vAlign w:val="center"/>
          </w:tcPr>
          <w:p w14:paraId="1287A39D" w14:textId="77777777" w:rsidR="00884AF0" w:rsidRPr="007E51E0" w:rsidRDefault="00884AF0" w:rsidP="005F25E6">
            <w:pPr>
              <w:pStyle w:val="Tabletext"/>
              <w:rPr>
                <w:lang w:val="en-GB"/>
              </w:rPr>
            </w:pPr>
            <w:r w:rsidRPr="007E51E0">
              <w:rPr>
                <w:sz w:val="16"/>
                <w:szCs w:val="16"/>
              </w:rPr>
              <w:t>+</w:t>
            </w:r>
          </w:p>
        </w:tc>
        <w:tc>
          <w:tcPr>
            <w:tcW w:w="1134" w:type="dxa"/>
            <w:shd w:val="clear" w:color="auto" w:fill="auto"/>
            <w:vAlign w:val="center"/>
          </w:tcPr>
          <w:p w14:paraId="789C7E2C" w14:textId="77777777" w:rsidR="00884AF0" w:rsidRPr="007E51E0" w:rsidRDefault="00884AF0" w:rsidP="005F25E6">
            <w:pPr>
              <w:pStyle w:val="Tabletext"/>
              <w:rPr>
                <w:lang w:val="en-GB"/>
              </w:rPr>
            </w:pPr>
            <w:r w:rsidRPr="007E51E0">
              <w:rPr>
                <w:sz w:val="16"/>
                <w:szCs w:val="16"/>
              </w:rPr>
              <w:t>++</w:t>
            </w:r>
          </w:p>
        </w:tc>
        <w:tc>
          <w:tcPr>
            <w:tcW w:w="1688" w:type="dxa"/>
            <w:shd w:val="clear" w:color="auto" w:fill="auto"/>
            <w:vAlign w:val="center"/>
          </w:tcPr>
          <w:p w14:paraId="26A14A68" w14:textId="77777777" w:rsidR="00884AF0" w:rsidRPr="007E51E0" w:rsidRDefault="00884AF0" w:rsidP="005F25E6">
            <w:pPr>
              <w:pStyle w:val="Tabletext"/>
              <w:rPr>
                <w:lang w:val="en-GB"/>
              </w:rPr>
            </w:pPr>
            <w:r>
              <w:rPr>
                <w:sz w:val="16"/>
                <w:szCs w:val="16"/>
                <w:lang w:val="en-GB"/>
              </w:rPr>
              <w:t>–</w:t>
            </w:r>
          </w:p>
        </w:tc>
      </w:tr>
      <w:tr w:rsidR="003A0D1E" w:rsidRPr="007E51E0" w14:paraId="25DDA77D" w14:textId="77777777" w:rsidTr="00183945">
        <w:trPr>
          <w:trHeight w:val="402"/>
          <w:jc w:val="center"/>
        </w:trPr>
        <w:tc>
          <w:tcPr>
            <w:tcW w:w="1264" w:type="dxa"/>
            <w:vAlign w:val="center"/>
          </w:tcPr>
          <w:p w14:paraId="2631F684" w14:textId="3E6E1464" w:rsidR="003A0D1E" w:rsidRPr="007E51E0" w:rsidRDefault="003A0D1E" w:rsidP="003A0D1E">
            <w:pPr>
              <w:spacing w:before="120" w:after="120" w:line="240" w:lineRule="auto"/>
              <w:jc w:val="center"/>
              <w:rPr>
                <w:rFonts w:ascii="Arial" w:hAnsi="Arial" w:cs="Arial"/>
                <w:b/>
                <w:bCs/>
                <w:sz w:val="16"/>
                <w:szCs w:val="16"/>
              </w:rPr>
            </w:pPr>
            <w:proofErr w:type="spellStart"/>
            <w:r w:rsidRPr="007E51E0">
              <w:rPr>
                <w:rFonts w:ascii="Arial" w:hAnsi="Arial" w:cs="Arial"/>
                <w:b/>
                <w:sz w:val="16"/>
                <w:szCs w:val="16"/>
                <w:lang w:val="en-IE"/>
              </w:rPr>
              <w:t>Mallein</w:t>
            </w:r>
            <w:proofErr w:type="spellEnd"/>
            <w:r w:rsidRPr="007E51E0">
              <w:rPr>
                <w:rFonts w:ascii="Arial" w:hAnsi="Arial" w:cs="Arial"/>
                <w:b/>
                <w:sz w:val="16"/>
                <w:szCs w:val="16"/>
                <w:lang w:val="en-IE"/>
              </w:rPr>
              <w:t xml:space="preserve"> skin test</w:t>
            </w:r>
          </w:p>
        </w:tc>
        <w:tc>
          <w:tcPr>
            <w:tcW w:w="1134" w:type="dxa"/>
            <w:vAlign w:val="center"/>
          </w:tcPr>
          <w:p w14:paraId="65CAFA2C" w14:textId="39012CBE" w:rsidR="003A0D1E" w:rsidRPr="007E51E0" w:rsidRDefault="003A0D1E" w:rsidP="003A0D1E">
            <w:pPr>
              <w:pStyle w:val="Tabletext"/>
              <w:rPr>
                <w:lang w:val="en-GB"/>
              </w:rPr>
            </w:pPr>
            <w:r w:rsidRPr="007E51E0">
              <w:rPr>
                <w:sz w:val="16"/>
                <w:szCs w:val="16"/>
              </w:rPr>
              <w:t>+</w:t>
            </w:r>
          </w:p>
        </w:tc>
        <w:tc>
          <w:tcPr>
            <w:tcW w:w="1418" w:type="dxa"/>
            <w:vAlign w:val="center"/>
          </w:tcPr>
          <w:p w14:paraId="36EC4A1E" w14:textId="7D1E40D9" w:rsidR="003A0D1E" w:rsidRPr="007E51E0" w:rsidRDefault="003A0D1E" w:rsidP="003A0D1E">
            <w:pPr>
              <w:pStyle w:val="Tabletext"/>
              <w:rPr>
                <w:lang w:val="en-GB"/>
              </w:rPr>
            </w:pPr>
            <w:r w:rsidRPr="007E51E0">
              <w:rPr>
                <w:sz w:val="16"/>
                <w:szCs w:val="16"/>
              </w:rPr>
              <w:t>+</w:t>
            </w:r>
          </w:p>
        </w:tc>
        <w:tc>
          <w:tcPr>
            <w:tcW w:w="1275" w:type="dxa"/>
            <w:vAlign w:val="center"/>
          </w:tcPr>
          <w:p w14:paraId="21E43C77" w14:textId="0CAABE25" w:rsidR="003A0D1E" w:rsidRPr="007E51E0" w:rsidRDefault="003A0D1E" w:rsidP="003A0D1E">
            <w:pPr>
              <w:pStyle w:val="Tabletext"/>
              <w:rPr>
                <w:lang w:val="en-GB"/>
              </w:rPr>
            </w:pPr>
            <w:r w:rsidRPr="007E51E0">
              <w:rPr>
                <w:sz w:val="16"/>
                <w:szCs w:val="16"/>
              </w:rPr>
              <w:t>+</w:t>
            </w:r>
          </w:p>
        </w:tc>
        <w:tc>
          <w:tcPr>
            <w:tcW w:w="1134" w:type="dxa"/>
            <w:vAlign w:val="center"/>
          </w:tcPr>
          <w:p w14:paraId="4BF0535B" w14:textId="0D4D47EB" w:rsidR="003A0D1E" w:rsidRPr="007E51E0" w:rsidRDefault="003A0D1E" w:rsidP="003A0D1E">
            <w:pPr>
              <w:pStyle w:val="Tabletext"/>
              <w:rPr>
                <w:lang w:val="en-GB"/>
              </w:rPr>
            </w:pPr>
            <w:r w:rsidRPr="007E51E0">
              <w:rPr>
                <w:sz w:val="16"/>
                <w:szCs w:val="16"/>
              </w:rPr>
              <w:t>+</w:t>
            </w:r>
          </w:p>
        </w:tc>
        <w:tc>
          <w:tcPr>
            <w:tcW w:w="1134" w:type="dxa"/>
            <w:vAlign w:val="center"/>
          </w:tcPr>
          <w:p w14:paraId="5DBAB7C1" w14:textId="68CCB7DE" w:rsidR="003A0D1E" w:rsidRPr="007E51E0" w:rsidRDefault="003A0D1E" w:rsidP="003A0D1E">
            <w:pPr>
              <w:pStyle w:val="Tabletext"/>
              <w:rPr>
                <w:lang w:val="en-GB"/>
              </w:rPr>
            </w:pPr>
            <w:r w:rsidRPr="007E51E0">
              <w:rPr>
                <w:sz w:val="16"/>
                <w:szCs w:val="16"/>
              </w:rPr>
              <w:t>+</w:t>
            </w:r>
          </w:p>
        </w:tc>
        <w:tc>
          <w:tcPr>
            <w:tcW w:w="1688" w:type="dxa"/>
            <w:vAlign w:val="center"/>
          </w:tcPr>
          <w:p w14:paraId="5F283DF4" w14:textId="13B7245B" w:rsidR="003A0D1E" w:rsidRPr="007E51E0" w:rsidRDefault="00AE0444" w:rsidP="003A0D1E">
            <w:pPr>
              <w:pStyle w:val="Tabletext"/>
              <w:rPr>
                <w:lang w:val="en-GB"/>
              </w:rPr>
            </w:pPr>
            <w:r>
              <w:rPr>
                <w:sz w:val="16"/>
                <w:szCs w:val="16"/>
                <w:lang w:val="en-GB"/>
              </w:rPr>
              <w:t>–</w:t>
            </w:r>
          </w:p>
        </w:tc>
      </w:tr>
      <w:tr w:rsidR="003A0D1E" w:rsidRPr="007E51E0" w14:paraId="1DA562A4" w14:textId="77777777" w:rsidTr="00183945">
        <w:trPr>
          <w:trHeight w:val="402"/>
          <w:jc w:val="center"/>
        </w:trPr>
        <w:tc>
          <w:tcPr>
            <w:tcW w:w="1264" w:type="dxa"/>
            <w:vAlign w:val="center"/>
          </w:tcPr>
          <w:p w14:paraId="2EF1CAF6" w14:textId="5A1AE4C1" w:rsidR="003A0D1E" w:rsidRPr="007E51E0" w:rsidRDefault="003A0D1E" w:rsidP="003A0D1E">
            <w:pPr>
              <w:spacing w:before="120" w:after="120" w:line="240" w:lineRule="auto"/>
              <w:jc w:val="center"/>
              <w:rPr>
                <w:rFonts w:ascii="Arial" w:hAnsi="Arial" w:cs="Arial"/>
                <w:b/>
                <w:strike/>
                <w:sz w:val="16"/>
                <w:szCs w:val="16"/>
                <w:lang w:val="en-IE"/>
              </w:rPr>
            </w:pPr>
            <w:r w:rsidRPr="007E51E0">
              <w:rPr>
                <w:rFonts w:ascii="Arial" w:hAnsi="Arial" w:cs="Arial"/>
                <w:b/>
                <w:sz w:val="16"/>
                <w:szCs w:val="16"/>
                <w:lang w:val="en-IE"/>
              </w:rPr>
              <w:t>Western blotting</w:t>
            </w:r>
          </w:p>
        </w:tc>
        <w:tc>
          <w:tcPr>
            <w:tcW w:w="1134" w:type="dxa"/>
            <w:vAlign w:val="center"/>
          </w:tcPr>
          <w:p w14:paraId="0D041B28" w14:textId="54C6B2C1" w:rsidR="003A0D1E" w:rsidRPr="007E51E0" w:rsidRDefault="003A0D1E" w:rsidP="003A0D1E">
            <w:pPr>
              <w:pStyle w:val="Tabletext"/>
              <w:rPr>
                <w:sz w:val="16"/>
                <w:szCs w:val="16"/>
              </w:rPr>
            </w:pPr>
            <w:r w:rsidRPr="007E51E0">
              <w:rPr>
                <w:sz w:val="16"/>
                <w:szCs w:val="16"/>
              </w:rPr>
              <w:t>+</w:t>
            </w:r>
          </w:p>
        </w:tc>
        <w:tc>
          <w:tcPr>
            <w:tcW w:w="1418" w:type="dxa"/>
            <w:vAlign w:val="center"/>
          </w:tcPr>
          <w:p w14:paraId="71929490" w14:textId="65C46C81" w:rsidR="003A0D1E" w:rsidRPr="007E51E0" w:rsidRDefault="003A0D1E" w:rsidP="003A0D1E">
            <w:pPr>
              <w:pStyle w:val="Tabletext"/>
              <w:rPr>
                <w:sz w:val="16"/>
                <w:szCs w:val="16"/>
              </w:rPr>
            </w:pPr>
            <w:r w:rsidRPr="007E51E0">
              <w:rPr>
                <w:sz w:val="16"/>
                <w:szCs w:val="16"/>
              </w:rPr>
              <w:t>+</w:t>
            </w:r>
          </w:p>
        </w:tc>
        <w:tc>
          <w:tcPr>
            <w:tcW w:w="1275" w:type="dxa"/>
            <w:vAlign w:val="center"/>
          </w:tcPr>
          <w:p w14:paraId="1F5A39A6" w14:textId="3B837B43" w:rsidR="003A0D1E" w:rsidRPr="007E51E0" w:rsidRDefault="003A0D1E" w:rsidP="003A0D1E">
            <w:pPr>
              <w:pStyle w:val="Tabletext"/>
              <w:rPr>
                <w:sz w:val="16"/>
                <w:szCs w:val="16"/>
              </w:rPr>
            </w:pPr>
            <w:r w:rsidRPr="007E51E0">
              <w:rPr>
                <w:sz w:val="16"/>
                <w:szCs w:val="16"/>
              </w:rPr>
              <w:t>++</w:t>
            </w:r>
          </w:p>
        </w:tc>
        <w:tc>
          <w:tcPr>
            <w:tcW w:w="1134" w:type="dxa"/>
            <w:vAlign w:val="center"/>
          </w:tcPr>
          <w:p w14:paraId="636246FB" w14:textId="3E1C907B" w:rsidR="003A0D1E" w:rsidRPr="007E51E0" w:rsidRDefault="003A0D1E" w:rsidP="003A0D1E">
            <w:pPr>
              <w:pStyle w:val="Tabletext"/>
              <w:rPr>
                <w:sz w:val="16"/>
                <w:szCs w:val="16"/>
              </w:rPr>
            </w:pPr>
            <w:r w:rsidRPr="007E51E0">
              <w:rPr>
                <w:sz w:val="16"/>
                <w:szCs w:val="16"/>
              </w:rPr>
              <w:t>+</w:t>
            </w:r>
          </w:p>
        </w:tc>
        <w:tc>
          <w:tcPr>
            <w:tcW w:w="1134" w:type="dxa"/>
            <w:vAlign w:val="center"/>
          </w:tcPr>
          <w:p w14:paraId="4C49F56E" w14:textId="68DFA209" w:rsidR="003A0D1E" w:rsidRPr="007E51E0" w:rsidRDefault="003A0D1E" w:rsidP="003A0D1E">
            <w:pPr>
              <w:pStyle w:val="Tabletext"/>
              <w:rPr>
                <w:sz w:val="16"/>
                <w:szCs w:val="16"/>
              </w:rPr>
            </w:pPr>
            <w:r w:rsidRPr="007E51E0">
              <w:rPr>
                <w:sz w:val="16"/>
                <w:szCs w:val="16"/>
              </w:rPr>
              <w:t>++</w:t>
            </w:r>
          </w:p>
        </w:tc>
        <w:tc>
          <w:tcPr>
            <w:tcW w:w="1688" w:type="dxa"/>
            <w:vAlign w:val="center"/>
          </w:tcPr>
          <w:p w14:paraId="4C596C87" w14:textId="501F5916" w:rsidR="003A0D1E" w:rsidRPr="007E51E0" w:rsidRDefault="00AE0444" w:rsidP="003A0D1E">
            <w:pPr>
              <w:pStyle w:val="Tabletext"/>
              <w:rPr>
                <w:lang w:val="en-GB"/>
              </w:rPr>
            </w:pPr>
            <w:r>
              <w:rPr>
                <w:sz w:val="16"/>
                <w:szCs w:val="16"/>
                <w:lang w:val="en-GB"/>
              </w:rPr>
              <w:t>–</w:t>
            </w:r>
          </w:p>
        </w:tc>
      </w:tr>
    </w:tbl>
    <w:p w14:paraId="023A0FF3" w14:textId="2D86131A" w:rsidR="00633A77" w:rsidRPr="007E51E0" w:rsidRDefault="00AE0444" w:rsidP="007E7296">
      <w:pPr>
        <w:pStyle w:val="Textebrut"/>
        <w:spacing w:before="120"/>
        <w:jc w:val="center"/>
        <w:rPr>
          <w:rFonts w:ascii="Arial" w:hAnsi="Arial"/>
          <w:sz w:val="16"/>
          <w:lang w:val="en-IE"/>
        </w:rPr>
      </w:pPr>
      <w:r w:rsidRPr="007F7727">
        <w:rPr>
          <w:rFonts w:ascii="Arial" w:hAnsi="Arial" w:cs="Arial"/>
          <w:color w:val="000000"/>
          <w:sz w:val="16"/>
          <w:szCs w:val="16"/>
        </w:rPr>
        <w:t xml:space="preserve">Key: +++ = recommended for this purpose; ++ recommended but has limitations; </w:t>
      </w:r>
      <w:r w:rsidRPr="007F7727">
        <w:rPr>
          <w:rFonts w:ascii="Arial" w:hAnsi="Arial" w:cs="Arial"/>
          <w:color w:val="000000"/>
          <w:sz w:val="16"/>
          <w:szCs w:val="16"/>
        </w:rPr>
        <w:br/>
        <w:t>+ = suitable in very limited circumstances</w:t>
      </w:r>
      <w:r w:rsidRPr="007F7727">
        <w:rPr>
          <w:rFonts w:ascii="Arial" w:hAnsi="Arial" w:cs="Arial"/>
          <w:sz w:val="16"/>
          <w:szCs w:val="16"/>
        </w:rPr>
        <w:t xml:space="preserve">; </w:t>
      </w:r>
      <w:r w:rsidRPr="007F7727">
        <w:rPr>
          <w:rFonts w:ascii="Arial" w:hAnsi="Arial" w:cs="Arial"/>
          <w:color w:val="000000"/>
          <w:sz w:val="16"/>
          <w:szCs w:val="16"/>
        </w:rPr>
        <w:t>– = not appropriate for this purpose.</w:t>
      </w:r>
    </w:p>
    <w:p w14:paraId="088282F8" w14:textId="20111EE4" w:rsidR="009950DD" w:rsidRPr="007E51E0" w:rsidRDefault="005A22F5" w:rsidP="00633A77">
      <w:pPr>
        <w:pStyle w:val="paraA0"/>
        <w:jc w:val="center"/>
        <w:rPr>
          <w:sz w:val="16"/>
          <w:szCs w:val="16"/>
          <w:lang w:val="en-IE"/>
        </w:rPr>
      </w:pPr>
      <w:r w:rsidRPr="007E51E0">
        <w:rPr>
          <w:sz w:val="16"/>
          <w:szCs w:val="16"/>
          <w:lang w:val="en-IE"/>
        </w:rPr>
        <w:t>PCR = polymerase chain reaction</w:t>
      </w:r>
      <w:r w:rsidR="009950DD" w:rsidRPr="007E51E0">
        <w:rPr>
          <w:sz w:val="16"/>
          <w:szCs w:val="16"/>
          <w:lang w:val="en-IE"/>
        </w:rPr>
        <w:t xml:space="preserve">; </w:t>
      </w:r>
      <w:r w:rsidRPr="007E51E0">
        <w:rPr>
          <w:sz w:val="16"/>
          <w:szCs w:val="16"/>
          <w:lang w:val="en-IE"/>
        </w:rPr>
        <w:t>ELISA = enzyme-linked immunosorbent assay</w:t>
      </w:r>
      <w:r w:rsidR="009950DD" w:rsidRPr="007E51E0">
        <w:rPr>
          <w:sz w:val="16"/>
          <w:szCs w:val="16"/>
          <w:lang w:val="en-IE"/>
        </w:rPr>
        <w:t>.</w:t>
      </w:r>
    </w:p>
    <w:p w14:paraId="0A93B697" w14:textId="78213556" w:rsidR="00DA48E7" w:rsidRPr="007E51E0" w:rsidRDefault="00DA48E7" w:rsidP="00DA48E7">
      <w:pPr>
        <w:pStyle w:val="1Para"/>
        <w:rPr>
          <w:sz w:val="16"/>
          <w:lang w:val="en-IE"/>
        </w:rPr>
      </w:pPr>
      <w:r w:rsidRPr="007E51E0">
        <w:t>For melioidosis, cultur</w:t>
      </w:r>
      <w:r w:rsidR="00B87389" w:rsidRPr="007E51E0">
        <w:t>e</w:t>
      </w:r>
      <w:r w:rsidRPr="007E51E0">
        <w:t xml:space="preserve"> and </w:t>
      </w:r>
      <w:r w:rsidRPr="007E51E0">
        <w:rPr>
          <w:lang w:val="en-IE"/>
        </w:rPr>
        <w:t xml:space="preserve">polymerase chain reaction (PCR) </w:t>
      </w:r>
      <w:r w:rsidRPr="007E51E0">
        <w:t xml:space="preserve">methods may be used to detect and identify the organism for confirmation of clinical cases, as described in the text below, but serological methods are not </w:t>
      </w:r>
      <w:r w:rsidR="001C6EA5" w:rsidRPr="007E51E0">
        <w:t xml:space="preserve">yet </w:t>
      </w:r>
      <w:r w:rsidRPr="007E51E0">
        <w:t>available for this infection.</w:t>
      </w:r>
    </w:p>
    <w:p w14:paraId="07F232C4" w14:textId="7795A301" w:rsidR="00A30C5D" w:rsidRPr="007E51E0" w:rsidRDefault="00A30C5D" w:rsidP="00A30C5D">
      <w:pPr>
        <w:pStyle w:val="1"/>
        <w:rPr>
          <w:lang w:val="en-IE"/>
        </w:rPr>
      </w:pPr>
      <w:r w:rsidRPr="007E51E0">
        <w:rPr>
          <w:lang w:val="en-IE"/>
        </w:rPr>
        <w:t>1.</w:t>
      </w:r>
      <w:r w:rsidRPr="007E51E0">
        <w:rPr>
          <w:lang w:val="en-IE"/>
        </w:rPr>
        <w:tab/>
        <w:t>Interpretation of tests for the diagnosis of glanders</w:t>
      </w:r>
      <w:r w:rsidR="002D4572" w:rsidRPr="007E51E0">
        <w:rPr>
          <w:lang w:val="en-IE"/>
        </w:rPr>
        <w:t xml:space="preserve"> </w:t>
      </w:r>
    </w:p>
    <w:p w14:paraId="4CDC45A7" w14:textId="6FC82B81" w:rsidR="00A30C5D" w:rsidRPr="007E51E0" w:rsidRDefault="00A30C5D" w:rsidP="003331F4">
      <w:pPr>
        <w:pStyle w:val="para1"/>
        <w:rPr>
          <w:lang w:val="en-IE"/>
        </w:rPr>
      </w:pPr>
      <w:r w:rsidRPr="007E51E0">
        <w:rPr>
          <w:lang w:val="en-IE"/>
        </w:rPr>
        <w:t>Confirmation of a diagnosis of glanders should be based on the isolation and identification of</w:t>
      </w:r>
      <w:r w:rsidRPr="007E51E0">
        <w:rPr>
          <w:i/>
          <w:lang w:val="en-IE"/>
        </w:rPr>
        <w:t xml:space="preserve"> </w:t>
      </w:r>
      <w:proofErr w:type="spellStart"/>
      <w:r w:rsidRPr="007E51E0">
        <w:rPr>
          <w:i/>
          <w:lang w:val="en-IE"/>
        </w:rPr>
        <w:t>Burkholderia</w:t>
      </w:r>
      <w:proofErr w:type="spellEnd"/>
      <w:r w:rsidRPr="007E51E0">
        <w:rPr>
          <w:i/>
          <w:lang w:val="en-IE"/>
        </w:rPr>
        <w:t xml:space="preserve"> mallei</w:t>
      </w:r>
      <w:r w:rsidRPr="007E51E0">
        <w:rPr>
          <w:lang w:val="en-IE"/>
        </w:rPr>
        <w:t xml:space="preserve"> in a sample from an equid or a product derived from that equid; or the identification in such samples of antigen or genetic material specific to </w:t>
      </w:r>
      <w:r w:rsidRPr="007E51E0">
        <w:rPr>
          <w:i/>
          <w:lang w:val="en-IE"/>
        </w:rPr>
        <w:t xml:space="preserve">B. mallei. </w:t>
      </w:r>
      <w:r w:rsidRPr="007E51E0">
        <w:rPr>
          <w:lang w:val="en-IE"/>
        </w:rPr>
        <w:t xml:space="preserve">Supporting evidence may be provided by positive serological test results such as a titre of 1/5 </w:t>
      </w:r>
      <w:r w:rsidR="002C7223" w:rsidRPr="007E51E0">
        <w:rPr>
          <w:lang w:val="en-IE"/>
        </w:rPr>
        <w:t>in the</w:t>
      </w:r>
      <w:r w:rsidRPr="007E51E0">
        <w:rPr>
          <w:lang w:val="en-IE"/>
        </w:rPr>
        <w:t xml:space="preserve"> complement fixation test (CFT), confirmed by a second test with equal or higher sensitivity and higher specificity, e.g. </w:t>
      </w:r>
      <w:r w:rsidRPr="007E51E0">
        <w:rPr>
          <w:i/>
          <w:lang w:val="en-IE"/>
        </w:rPr>
        <w:t>B. mallei</w:t>
      </w:r>
      <w:r w:rsidRPr="007E51E0">
        <w:rPr>
          <w:lang w:val="en-IE"/>
        </w:rPr>
        <w:t xml:space="preserve">-specific lipopolysaccharide (LPS)-western blot, I-ELISA (indirect enzyme-linked immunosorbent assay) (based on a recombinant protein from type VI secretion system) or C-ELISA (competitive ELISA) (based on </w:t>
      </w:r>
      <w:r w:rsidRPr="007E51E0">
        <w:rPr>
          <w:i/>
          <w:lang w:val="en-IE"/>
        </w:rPr>
        <w:t>B. mallei</w:t>
      </w:r>
      <w:r w:rsidRPr="007E51E0">
        <w:rPr>
          <w:lang w:val="en-IE"/>
        </w:rPr>
        <w:t>-specific monoclonal antibodies)</w:t>
      </w:r>
      <w:r w:rsidR="002C7223" w:rsidRPr="007E51E0">
        <w:rPr>
          <w:lang w:val="en-IE"/>
        </w:rPr>
        <w:t>.</w:t>
      </w:r>
    </w:p>
    <w:p w14:paraId="11E72596" w14:textId="4803DE8E" w:rsidR="007E56A8" w:rsidRPr="007E51E0" w:rsidRDefault="002C7223" w:rsidP="00C63272">
      <w:pPr>
        <w:pStyle w:val="1"/>
        <w:rPr>
          <w:lang w:val="en-IE"/>
        </w:rPr>
      </w:pPr>
      <w:r w:rsidRPr="007E51E0">
        <w:rPr>
          <w:lang w:val="en-IE"/>
        </w:rPr>
        <w:lastRenderedPageBreak/>
        <w:t>2</w:t>
      </w:r>
      <w:r w:rsidR="007E56A8" w:rsidRPr="007E51E0">
        <w:rPr>
          <w:lang w:val="en-IE"/>
        </w:rPr>
        <w:t>.</w:t>
      </w:r>
      <w:r w:rsidR="007E56A8" w:rsidRPr="007E51E0">
        <w:rPr>
          <w:lang w:val="en-IE"/>
        </w:rPr>
        <w:tab/>
      </w:r>
      <w:r w:rsidR="00933299">
        <w:rPr>
          <w:lang w:val="en-IE"/>
        </w:rPr>
        <w:t>Detection</w:t>
      </w:r>
      <w:r w:rsidR="007E56A8" w:rsidRPr="007E51E0">
        <w:rPr>
          <w:lang w:val="en-IE"/>
        </w:rPr>
        <w:t xml:space="preserve"> of the agent</w:t>
      </w:r>
    </w:p>
    <w:p w14:paraId="6B99AC85" w14:textId="23FCE6C0" w:rsidR="007E56A8" w:rsidRPr="007E51E0" w:rsidRDefault="007E56A8" w:rsidP="00F744B2">
      <w:pPr>
        <w:pStyle w:val="para1"/>
        <w:rPr>
          <w:lang w:val="en-IE"/>
        </w:rPr>
      </w:pPr>
      <w:r w:rsidRPr="007E51E0">
        <w:rPr>
          <w:lang w:val="en-IE"/>
        </w:rPr>
        <w:t>Cases for specific glanders investigation should be differentiated on clinical grounds from other chronic infections affecting</w:t>
      </w:r>
      <w:r w:rsidR="00201689" w:rsidRPr="007E51E0">
        <w:rPr>
          <w:lang w:val="en-IE"/>
        </w:rPr>
        <w:t xml:space="preserve"> </w:t>
      </w:r>
      <w:r w:rsidRPr="007E51E0">
        <w:rPr>
          <w:lang w:val="en-IE"/>
        </w:rPr>
        <w:t>the nasal mucous membranes</w:t>
      </w:r>
      <w:r w:rsidR="008847C9" w:rsidRPr="007E51E0">
        <w:rPr>
          <w:lang w:val="en-IE"/>
        </w:rPr>
        <w:t>,</w:t>
      </w:r>
      <w:r w:rsidR="00201689" w:rsidRPr="007E51E0">
        <w:rPr>
          <w:lang w:val="en-IE"/>
        </w:rPr>
        <w:t xml:space="preserve"> </w:t>
      </w:r>
      <w:r w:rsidRPr="007E51E0">
        <w:rPr>
          <w:lang w:val="en-IE"/>
        </w:rPr>
        <w:t>sinuses</w:t>
      </w:r>
      <w:r w:rsidR="008847C9" w:rsidRPr="007E51E0">
        <w:rPr>
          <w:lang w:val="en-IE"/>
        </w:rPr>
        <w:t xml:space="preserve"> or the skin</w:t>
      </w:r>
      <w:r w:rsidRPr="007E51E0">
        <w:rPr>
          <w:lang w:val="en-IE"/>
        </w:rPr>
        <w:t>. Among these are strangles (</w:t>
      </w:r>
      <w:r w:rsidRPr="007E51E0">
        <w:rPr>
          <w:i/>
          <w:lang w:val="en-IE"/>
        </w:rPr>
        <w:t xml:space="preserve">Streptococcus </w:t>
      </w:r>
      <w:proofErr w:type="spellStart"/>
      <w:r w:rsidRPr="007E51E0">
        <w:rPr>
          <w:i/>
          <w:lang w:val="en-IE"/>
        </w:rPr>
        <w:t>equi</w:t>
      </w:r>
      <w:proofErr w:type="spellEnd"/>
      <w:r w:rsidRPr="007E51E0">
        <w:rPr>
          <w:lang w:val="en-IE"/>
        </w:rPr>
        <w:t xml:space="preserve">), ulcerative lymphangitis </w:t>
      </w:r>
      <w:r w:rsidRPr="007E51E0">
        <w:rPr>
          <w:iCs/>
          <w:lang w:val="en-IE"/>
        </w:rPr>
        <w:t>(</w:t>
      </w:r>
      <w:r w:rsidRPr="007E51E0">
        <w:rPr>
          <w:i/>
          <w:lang w:val="en-IE"/>
        </w:rPr>
        <w:t>Corynebacterium</w:t>
      </w:r>
      <w:r w:rsidRPr="007E51E0">
        <w:rPr>
          <w:lang w:val="en-IE"/>
        </w:rPr>
        <w:t xml:space="preserve"> </w:t>
      </w:r>
      <w:r w:rsidRPr="007E51E0">
        <w:rPr>
          <w:i/>
          <w:lang w:val="en-IE"/>
        </w:rPr>
        <w:t>pseudotuberculosis</w:t>
      </w:r>
      <w:r w:rsidRPr="007E51E0">
        <w:rPr>
          <w:iCs/>
          <w:lang w:val="en-IE"/>
        </w:rPr>
        <w:t>)</w:t>
      </w:r>
      <w:r w:rsidRPr="007E51E0">
        <w:rPr>
          <w:i/>
          <w:lang w:val="en-IE"/>
        </w:rPr>
        <w:t xml:space="preserve">, </w:t>
      </w:r>
      <w:r w:rsidRPr="007E51E0">
        <w:rPr>
          <w:iCs/>
          <w:lang w:val="en-IE"/>
        </w:rPr>
        <w:t>pseudotuberculosis</w:t>
      </w:r>
      <w:r w:rsidRPr="007E51E0">
        <w:rPr>
          <w:i/>
          <w:lang w:val="en-IE"/>
        </w:rPr>
        <w:t xml:space="preserve"> </w:t>
      </w:r>
      <w:r w:rsidRPr="007E51E0">
        <w:rPr>
          <w:iCs/>
          <w:lang w:val="en-IE"/>
        </w:rPr>
        <w:t>(</w:t>
      </w:r>
      <w:r w:rsidRPr="007E51E0">
        <w:rPr>
          <w:i/>
          <w:iCs/>
          <w:lang w:val="en-IE"/>
        </w:rPr>
        <w:t>Yersinia pseudotuberculosis</w:t>
      </w:r>
      <w:r w:rsidRPr="007E51E0">
        <w:rPr>
          <w:lang w:val="en-IE"/>
        </w:rPr>
        <w:t xml:space="preserve">) and sporotrichosis </w:t>
      </w:r>
      <w:r w:rsidRPr="007E51E0">
        <w:rPr>
          <w:iCs/>
          <w:lang w:val="en-IE"/>
        </w:rPr>
        <w:t>(</w:t>
      </w:r>
      <w:proofErr w:type="spellStart"/>
      <w:r w:rsidRPr="007E51E0">
        <w:rPr>
          <w:i/>
          <w:lang w:val="en-IE"/>
        </w:rPr>
        <w:t>Sporotrichium</w:t>
      </w:r>
      <w:proofErr w:type="spellEnd"/>
      <w:r w:rsidRPr="007E51E0">
        <w:rPr>
          <w:lang w:val="en-IE"/>
        </w:rPr>
        <w:t xml:space="preserve"> spp.</w:t>
      </w:r>
      <w:r w:rsidRPr="007E51E0">
        <w:rPr>
          <w:iCs/>
          <w:lang w:val="en-IE"/>
        </w:rPr>
        <w:t>)</w:t>
      </w:r>
      <w:r w:rsidRPr="007E51E0">
        <w:rPr>
          <w:lang w:val="en-IE"/>
        </w:rPr>
        <w:t>. Glanders should be excluded from suspected cases of epizootic lymphangitis (</w:t>
      </w:r>
      <w:r w:rsidRPr="007E51E0">
        <w:rPr>
          <w:i/>
          <w:lang w:val="en-IE"/>
        </w:rPr>
        <w:t xml:space="preserve">Histoplasma </w:t>
      </w:r>
      <w:proofErr w:type="spellStart"/>
      <w:r w:rsidRPr="007E51E0">
        <w:rPr>
          <w:i/>
          <w:lang w:val="en-IE"/>
        </w:rPr>
        <w:t>farciminosum</w:t>
      </w:r>
      <w:proofErr w:type="spellEnd"/>
      <w:r w:rsidRPr="007E51E0">
        <w:rPr>
          <w:lang w:val="en-IE"/>
        </w:rPr>
        <w:t xml:space="preserve">), with which it has many clinical similarities. In </w:t>
      </w:r>
      <w:r w:rsidR="001A7177" w:rsidRPr="007E51E0">
        <w:rPr>
          <w:lang w:val="en-IE"/>
        </w:rPr>
        <w:t xml:space="preserve">horses and </w:t>
      </w:r>
      <w:r w:rsidRPr="007E51E0">
        <w:rPr>
          <w:lang w:val="en-IE"/>
        </w:rPr>
        <w:t>humans in particular, glanders should be distinguished from melioidosis.</w:t>
      </w:r>
    </w:p>
    <w:p w14:paraId="017C4E63" w14:textId="07ECACEC" w:rsidR="007E56A8" w:rsidRPr="007E51E0" w:rsidRDefault="002C7223" w:rsidP="00622046">
      <w:pPr>
        <w:pStyle w:val="11"/>
        <w:rPr>
          <w:lang w:val="en-IE"/>
        </w:rPr>
      </w:pPr>
      <w:r w:rsidRPr="007E51E0">
        <w:rPr>
          <w:lang w:val="en-IE"/>
        </w:rPr>
        <w:t>2</w:t>
      </w:r>
      <w:r w:rsidR="00622046" w:rsidRPr="007E51E0">
        <w:rPr>
          <w:lang w:val="en-IE"/>
        </w:rPr>
        <w:t>.1.</w:t>
      </w:r>
      <w:r w:rsidR="007E56A8" w:rsidRPr="007E51E0">
        <w:rPr>
          <w:lang w:val="en-IE"/>
        </w:rPr>
        <w:tab/>
        <w:t xml:space="preserve">Morphology of </w:t>
      </w:r>
      <w:proofErr w:type="spellStart"/>
      <w:r w:rsidR="007E56A8" w:rsidRPr="007E51E0">
        <w:rPr>
          <w:i/>
          <w:lang w:val="en-IE"/>
        </w:rPr>
        <w:t>Burkholderia</w:t>
      </w:r>
      <w:proofErr w:type="spellEnd"/>
      <w:r w:rsidR="007E56A8" w:rsidRPr="007E51E0">
        <w:rPr>
          <w:lang w:val="en-IE"/>
        </w:rPr>
        <w:t xml:space="preserve"> </w:t>
      </w:r>
      <w:r w:rsidR="007E56A8" w:rsidRPr="007E51E0">
        <w:rPr>
          <w:i/>
          <w:lang w:val="en-IE"/>
        </w:rPr>
        <w:t>mallei</w:t>
      </w:r>
    </w:p>
    <w:p w14:paraId="18D7E297" w14:textId="35BB03D2" w:rsidR="007E56A8" w:rsidRPr="007E51E0" w:rsidRDefault="00377987" w:rsidP="00622046">
      <w:pPr>
        <w:pStyle w:val="11Para"/>
        <w:rPr>
          <w:lang w:val="en-IE"/>
        </w:rPr>
      </w:pPr>
      <w:proofErr w:type="spellStart"/>
      <w:r w:rsidRPr="007E51E0">
        <w:rPr>
          <w:i/>
          <w:lang w:val="en-IE"/>
        </w:rPr>
        <w:t>Burkholderia</w:t>
      </w:r>
      <w:proofErr w:type="spellEnd"/>
      <w:r w:rsidR="002D4572" w:rsidRPr="007E51E0">
        <w:rPr>
          <w:i/>
          <w:lang w:val="en-IE"/>
        </w:rPr>
        <w:t xml:space="preserve"> mallei</w:t>
      </w:r>
      <w:r w:rsidR="007E56A8" w:rsidRPr="007E51E0">
        <w:rPr>
          <w:lang w:val="en-IE"/>
        </w:rPr>
        <w:t xml:space="preserve"> organisms are fairly numerous in smears from fresh lesions, but scarce in older lesions. Smears should be stained with methylene blue or Gram stain. The Gram-negative rods have rounded ends, are 2–5 µm long and 0.3–0.8 µm wide with granular inclusions of various size. The bacteria are generally located extracellularly and frequently stain irregularly</w:t>
      </w:r>
      <w:r w:rsidR="00FE5D19" w:rsidRPr="007E51E0">
        <w:rPr>
          <w:lang w:val="en-IE"/>
        </w:rPr>
        <w:t xml:space="preserve"> and poorly when Gram stain is used</w:t>
      </w:r>
      <w:r w:rsidR="007E56A8" w:rsidRPr="007E51E0">
        <w:rPr>
          <w:lang w:val="en-IE"/>
        </w:rPr>
        <w:t>. They do not have a readily visible capsule under the light microscope and do not form spores. The presence of a capsule-like cover has been verified</w:t>
      </w:r>
      <w:r w:rsidR="00201689" w:rsidRPr="007E51E0">
        <w:rPr>
          <w:lang w:val="en-IE"/>
        </w:rPr>
        <w:t xml:space="preserve"> </w:t>
      </w:r>
      <w:r w:rsidR="007E56A8" w:rsidRPr="007E51E0">
        <w:rPr>
          <w:lang w:val="en-IE"/>
        </w:rPr>
        <w:t xml:space="preserve">by electron microscopy. This capsule is composed of neutral carbohydrates and serves to protect the cell from unfavourable environmental factors. Unlike other organisms in the </w:t>
      </w:r>
      <w:r w:rsidR="007E56A8" w:rsidRPr="007E51E0">
        <w:rPr>
          <w:i/>
          <w:iCs/>
          <w:lang w:val="en-IE"/>
        </w:rPr>
        <w:t>Pseudomonas</w:t>
      </w:r>
      <w:r w:rsidR="007E56A8" w:rsidRPr="007E51E0">
        <w:rPr>
          <w:lang w:val="en-IE"/>
        </w:rPr>
        <w:t xml:space="preserve"> group and its close relative </w:t>
      </w:r>
      <w:r w:rsidR="007E56A8" w:rsidRPr="007E51E0">
        <w:rPr>
          <w:i/>
          <w:lang w:val="en-IE"/>
        </w:rPr>
        <w:t>B. </w:t>
      </w:r>
      <w:proofErr w:type="spellStart"/>
      <w:r w:rsidR="007E56A8" w:rsidRPr="007E51E0">
        <w:rPr>
          <w:i/>
          <w:lang w:val="en-IE"/>
        </w:rPr>
        <w:t>pseudomallei</w:t>
      </w:r>
      <w:proofErr w:type="spellEnd"/>
      <w:r w:rsidR="007E56A8" w:rsidRPr="007E51E0">
        <w:rPr>
          <w:lang w:val="en-IE"/>
        </w:rPr>
        <w:t xml:space="preserve">, </w:t>
      </w:r>
      <w:r w:rsidR="007E56A8" w:rsidRPr="007E51E0">
        <w:rPr>
          <w:i/>
          <w:iCs/>
          <w:lang w:val="en-IE"/>
        </w:rPr>
        <w:t>B.</w:t>
      </w:r>
      <w:r w:rsidR="002D09EA" w:rsidRPr="007E51E0">
        <w:rPr>
          <w:i/>
          <w:iCs/>
          <w:lang w:val="en-IE"/>
        </w:rPr>
        <w:t> </w:t>
      </w:r>
      <w:r w:rsidR="007E56A8" w:rsidRPr="007E51E0">
        <w:rPr>
          <w:i/>
          <w:iCs/>
          <w:lang w:val="en-IE"/>
        </w:rPr>
        <w:t>mallei</w:t>
      </w:r>
      <w:r w:rsidR="007E56A8" w:rsidRPr="007E51E0">
        <w:rPr>
          <w:lang w:val="en-IE"/>
        </w:rPr>
        <w:t xml:space="preserve"> has no </w:t>
      </w:r>
      <w:proofErr w:type="spellStart"/>
      <w:r w:rsidR="007E56A8" w:rsidRPr="007E51E0">
        <w:rPr>
          <w:lang w:val="en-IE"/>
        </w:rPr>
        <w:t>flagellae</w:t>
      </w:r>
      <w:proofErr w:type="spellEnd"/>
      <w:r w:rsidR="007E56A8" w:rsidRPr="007E51E0">
        <w:rPr>
          <w:lang w:val="en-IE"/>
        </w:rPr>
        <w:t xml:space="preserve"> and is therefore nonmotile (Sprague &amp; Neubauer, 2004). Nonmotility is the </w:t>
      </w:r>
      <w:r w:rsidR="00E1049D" w:rsidRPr="007E51E0">
        <w:rPr>
          <w:lang w:val="en-IE"/>
        </w:rPr>
        <w:t xml:space="preserve">most important </w:t>
      </w:r>
      <w:r w:rsidR="007E56A8" w:rsidRPr="007E51E0">
        <w:rPr>
          <w:lang w:val="en-IE"/>
        </w:rPr>
        <w:t>phenotypic characteristic</w:t>
      </w:r>
      <w:r w:rsidR="00E1049D" w:rsidRPr="007E51E0">
        <w:rPr>
          <w:lang w:val="en-IE"/>
        </w:rPr>
        <w:t xml:space="preserve"> diagnostically</w:t>
      </w:r>
      <w:r w:rsidR="007E56A8" w:rsidRPr="007E51E0">
        <w:rPr>
          <w:lang w:val="en-IE"/>
        </w:rPr>
        <w:t xml:space="preserve"> and must be demonstrated when pure culture is available. The organisms are difficult to detect</w:t>
      </w:r>
      <w:r w:rsidR="00201689" w:rsidRPr="007E51E0">
        <w:rPr>
          <w:lang w:val="en-IE"/>
        </w:rPr>
        <w:t xml:space="preserve"> </w:t>
      </w:r>
      <w:r w:rsidR="007E56A8" w:rsidRPr="007E51E0">
        <w:rPr>
          <w:lang w:val="en-IE"/>
        </w:rPr>
        <w:t xml:space="preserve">in tissue sections, where they may have a beaded appearance. In culture media, they vary in appearance depending on the age of the culture and type of medium. In older cultures, there is much pleomorphism. Branching filaments form on the surface of broth cultures (Neubauer </w:t>
      </w:r>
      <w:r w:rsidR="007E56A8" w:rsidRPr="007E51E0">
        <w:rPr>
          <w:i/>
          <w:lang w:val="en-IE"/>
        </w:rPr>
        <w:t>et al.</w:t>
      </w:r>
      <w:r w:rsidR="007E56A8" w:rsidRPr="007E51E0">
        <w:rPr>
          <w:lang w:val="en-IE"/>
        </w:rPr>
        <w:t>, 2005).</w:t>
      </w:r>
    </w:p>
    <w:p w14:paraId="2D1C7E4B" w14:textId="419B7C8F" w:rsidR="007E56A8" w:rsidRPr="007E51E0" w:rsidRDefault="002C7223" w:rsidP="00622046">
      <w:pPr>
        <w:pStyle w:val="11"/>
        <w:rPr>
          <w:lang w:val="en-IE"/>
        </w:rPr>
      </w:pPr>
      <w:r w:rsidRPr="007E51E0">
        <w:rPr>
          <w:lang w:val="en-IE"/>
        </w:rPr>
        <w:t>2</w:t>
      </w:r>
      <w:r w:rsidR="00622046" w:rsidRPr="007E51E0">
        <w:rPr>
          <w:lang w:val="en-IE"/>
        </w:rPr>
        <w:t>.2.</w:t>
      </w:r>
      <w:r w:rsidR="007E56A8" w:rsidRPr="007E51E0">
        <w:rPr>
          <w:lang w:val="en-IE"/>
        </w:rPr>
        <w:tab/>
        <w:t>Cultural characteristics</w:t>
      </w:r>
    </w:p>
    <w:p w14:paraId="3925D482" w14:textId="382D1337" w:rsidR="007E56A8" w:rsidRPr="007E51E0" w:rsidRDefault="007E56A8" w:rsidP="00622046">
      <w:pPr>
        <w:pStyle w:val="11Para"/>
        <w:rPr>
          <w:lang w:val="en-IE"/>
        </w:rPr>
      </w:pPr>
      <w:r w:rsidRPr="007E51E0">
        <w:rPr>
          <w:lang w:val="en-IE"/>
        </w:rPr>
        <w:t xml:space="preserve">It is preferable to attempt isolation from unopened, uncontaminated lesions. </w:t>
      </w:r>
      <w:proofErr w:type="spellStart"/>
      <w:r w:rsidR="00F25ACD" w:rsidRPr="007E51E0">
        <w:rPr>
          <w:i/>
          <w:lang w:val="en-IE"/>
        </w:rPr>
        <w:t>Burkholderia</w:t>
      </w:r>
      <w:proofErr w:type="spellEnd"/>
      <w:r w:rsidR="00F25ACD" w:rsidRPr="007E51E0">
        <w:rPr>
          <w:i/>
          <w:lang w:val="en-IE"/>
        </w:rPr>
        <w:t xml:space="preserve"> mallei</w:t>
      </w:r>
      <w:r w:rsidRPr="007E51E0">
        <w:rPr>
          <w:lang w:val="en-IE"/>
        </w:rPr>
        <w:t xml:space="preserve"> is aerobic and facultative anaerobic only in the presence of nitrate, growing optimally at 37</w:t>
      </w:r>
      <w:r w:rsidR="008E2EEF" w:rsidRPr="007E51E0">
        <w:rPr>
          <w:lang w:val="en-IE"/>
        </w:rPr>
        <w:t>°</w:t>
      </w:r>
      <w:r w:rsidRPr="007E51E0">
        <w:rPr>
          <w:lang w:val="en-IE"/>
        </w:rPr>
        <w:t>C. It grows well, but slowly, on culture media,</w:t>
      </w:r>
      <w:r w:rsidR="005C48C4" w:rsidRPr="007E51E0">
        <w:rPr>
          <w:lang w:val="en-IE"/>
        </w:rPr>
        <w:t xml:space="preserve"> including sheep blood agar.</w:t>
      </w:r>
      <w:r w:rsidRPr="007E51E0">
        <w:rPr>
          <w:lang w:val="en-IE"/>
        </w:rPr>
        <w:t xml:space="preserve"> 72-hour incubation of cultures is recommended; glycerol enrichment is particularly useful. </w:t>
      </w:r>
      <w:r w:rsidR="005C48C4" w:rsidRPr="007E51E0">
        <w:rPr>
          <w:lang w:val="en-IE"/>
        </w:rPr>
        <w:t xml:space="preserve">The tiny greyish shiny colonies of </w:t>
      </w:r>
      <w:r w:rsidR="005C48C4" w:rsidRPr="007E51E0">
        <w:rPr>
          <w:i/>
          <w:lang w:val="en-IE"/>
        </w:rPr>
        <w:t xml:space="preserve">B. mallei </w:t>
      </w:r>
      <w:r w:rsidR="005C48C4" w:rsidRPr="007E51E0">
        <w:rPr>
          <w:lang w:val="en-IE"/>
        </w:rPr>
        <w:t>on sheep blood agar can be easily overgrown by other bacteria; hence careful observation is needed not to overlook the bacteria after 72</w:t>
      </w:r>
      <w:r w:rsidR="00C7153A" w:rsidRPr="007E51E0">
        <w:rPr>
          <w:lang w:val="en-IE"/>
        </w:rPr>
        <w:t> </w:t>
      </w:r>
      <w:r w:rsidR="005C48C4" w:rsidRPr="007E51E0">
        <w:rPr>
          <w:lang w:val="en-IE"/>
        </w:rPr>
        <w:t xml:space="preserve">hours of incubation. </w:t>
      </w:r>
      <w:r w:rsidRPr="007E51E0">
        <w:rPr>
          <w:lang w:val="en-IE"/>
        </w:rPr>
        <w:t xml:space="preserve">After a few days on glycerol agar, a confluent, smooth, moist and slightly viscous cream coloured growth can be observed. On continued incubation, the growth thickens and becomes dark brown and tough. </w:t>
      </w:r>
      <w:proofErr w:type="spellStart"/>
      <w:r w:rsidRPr="007E51E0">
        <w:rPr>
          <w:i/>
          <w:lang w:val="en-IE"/>
        </w:rPr>
        <w:t>Burkholderia</w:t>
      </w:r>
      <w:proofErr w:type="spellEnd"/>
      <w:r w:rsidRPr="007E51E0">
        <w:rPr>
          <w:i/>
          <w:lang w:val="en-IE"/>
        </w:rPr>
        <w:t xml:space="preserve"> mallei</w:t>
      </w:r>
      <w:r w:rsidRPr="007E51E0">
        <w:rPr>
          <w:lang w:val="en-IE"/>
        </w:rPr>
        <w:t xml:space="preserve"> also grows well on glycerol potato agar and in glycerol broth, on which a slimy pellicle forms. On nutrient agar, the growth is much less</w:t>
      </w:r>
      <w:r w:rsidR="00201689" w:rsidRPr="007E51E0">
        <w:rPr>
          <w:lang w:val="en-IE"/>
        </w:rPr>
        <w:t xml:space="preserve"> </w:t>
      </w:r>
      <w:r w:rsidRPr="007E51E0">
        <w:rPr>
          <w:lang w:val="en-IE"/>
        </w:rPr>
        <w:t xml:space="preserve">effusive, and growth is poor on gelatine. Various commercially available </w:t>
      </w:r>
      <w:proofErr w:type="spellStart"/>
      <w:r w:rsidRPr="007E51E0">
        <w:rPr>
          <w:i/>
          <w:lang w:val="en-IE"/>
        </w:rPr>
        <w:t>Burkholderia</w:t>
      </w:r>
      <w:proofErr w:type="spellEnd"/>
      <w:r w:rsidRPr="007E51E0">
        <w:rPr>
          <w:lang w:val="en-IE"/>
        </w:rPr>
        <w:t xml:space="preserve"> selective agars enable the growth of </w:t>
      </w:r>
      <w:r w:rsidRPr="007E51E0">
        <w:rPr>
          <w:i/>
          <w:lang w:val="en-IE"/>
        </w:rPr>
        <w:t>B. mallei</w:t>
      </w:r>
      <w:r w:rsidRPr="007E51E0">
        <w:rPr>
          <w:lang w:val="en-IE"/>
        </w:rPr>
        <w:t xml:space="preserve"> (Glass </w:t>
      </w:r>
      <w:r w:rsidRPr="007E51E0">
        <w:rPr>
          <w:i/>
          <w:lang w:val="en-IE"/>
        </w:rPr>
        <w:t>et al.</w:t>
      </w:r>
      <w:r w:rsidRPr="007E51E0">
        <w:rPr>
          <w:lang w:val="en-IE"/>
        </w:rPr>
        <w:t>, 2009).</w:t>
      </w:r>
      <w:r w:rsidR="005C48C4" w:rsidRPr="007E51E0">
        <w:rPr>
          <w:lang w:val="en-IE"/>
        </w:rPr>
        <w:t xml:space="preserve"> Even</w:t>
      </w:r>
      <w:r w:rsidRPr="007E51E0">
        <w:rPr>
          <w:lang w:val="en-IE"/>
        </w:rPr>
        <w:t xml:space="preserve"> </w:t>
      </w:r>
      <w:r w:rsidR="005C48C4" w:rsidRPr="007E51E0">
        <w:rPr>
          <w:lang w:val="en-IE"/>
        </w:rPr>
        <w:t>i</w:t>
      </w:r>
      <w:r w:rsidRPr="007E51E0">
        <w:rPr>
          <w:lang w:val="en-IE"/>
        </w:rPr>
        <w:t xml:space="preserve">n </w:t>
      </w:r>
      <w:r w:rsidR="005C48C4" w:rsidRPr="007E51E0">
        <w:rPr>
          <w:lang w:val="en-IE"/>
        </w:rPr>
        <w:t xml:space="preserve">fresh </w:t>
      </w:r>
      <w:r w:rsidRPr="007E51E0">
        <w:rPr>
          <w:lang w:val="en-IE"/>
        </w:rPr>
        <w:t xml:space="preserve">samples obtained under sterile conditions </w:t>
      </w:r>
      <w:r w:rsidRPr="007E51E0">
        <w:rPr>
          <w:i/>
          <w:lang w:val="en-IE"/>
        </w:rPr>
        <w:t>B. mallei</w:t>
      </w:r>
      <w:r w:rsidRPr="007E51E0">
        <w:rPr>
          <w:lang w:val="en-IE"/>
        </w:rPr>
        <w:t xml:space="preserve"> is </w:t>
      </w:r>
      <w:r w:rsidR="005C48C4" w:rsidRPr="007E51E0">
        <w:rPr>
          <w:lang w:val="en-IE"/>
        </w:rPr>
        <w:t>often</w:t>
      </w:r>
      <w:r w:rsidRPr="007E51E0">
        <w:rPr>
          <w:lang w:val="en-IE"/>
        </w:rPr>
        <w:t xml:space="preserve"> overgrown by other bacteria</w:t>
      </w:r>
      <w:r w:rsidR="005C48C4" w:rsidRPr="007E51E0">
        <w:rPr>
          <w:lang w:val="en-IE"/>
        </w:rPr>
        <w:t>, which makes isolation extremely difficult (</w:t>
      </w:r>
      <w:proofErr w:type="spellStart"/>
      <w:r w:rsidR="005C48C4" w:rsidRPr="007E51E0">
        <w:rPr>
          <w:lang w:val="en-IE"/>
        </w:rPr>
        <w:t>Wernery</w:t>
      </w:r>
      <w:proofErr w:type="spellEnd"/>
      <w:r w:rsidR="005C48C4" w:rsidRPr="007E51E0">
        <w:rPr>
          <w:lang w:val="en-IE"/>
        </w:rPr>
        <w:t>, 2009)</w:t>
      </w:r>
      <w:r w:rsidRPr="007E51E0">
        <w:rPr>
          <w:lang w:val="en-IE"/>
        </w:rPr>
        <w:t>.</w:t>
      </w:r>
    </w:p>
    <w:p w14:paraId="7B564578" w14:textId="50274CB3" w:rsidR="007E56A8" w:rsidRPr="007E51E0" w:rsidRDefault="00737126" w:rsidP="00377987">
      <w:pPr>
        <w:pStyle w:val="11Para"/>
      </w:pPr>
      <w:r w:rsidRPr="007E51E0">
        <w:rPr>
          <w:lang w:val="en-IE"/>
        </w:rPr>
        <w:t xml:space="preserve">Confirmation of the identity of suspected isolates is by biochemical reactions or by </w:t>
      </w:r>
      <w:r w:rsidR="00BD125B" w:rsidRPr="007E51E0">
        <w:rPr>
          <w:lang w:val="en-IE"/>
        </w:rPr>
        <w:t>PCR</w:t>
      </w:r>
      <w:r w:rsidRPr="007E51E0">
        <w:rPr>
          <w:lang w:val="en-IE"/>
        </w:rPr>
        <w:t xml:space="preserve">. </w:t>
      </w:r>
      <w:r w:rsidR="007E56A8" w:rsidRPr="007E51E0">
        <w:rPr>
          <w:lang w:val="en-IE"/>
        </w:rPr>
        <w:t xml:space="preserve">Growth characteristics may alter </w:t>
      </w:r>
      <w:r w:rsidR="007E56A8" w:rsidRPr="007E51E0">
        <w:rPr>
          <w:i/>
          <w:iCs/>
          <w:lang w:val="en-IE"/>
        </w:rPr>
        <w:t>in vitro</w:t>
      </w:r>
      <w:r w:rsidR="007E56A8" w:rsidRPr="007E51E0">
        <w:rPr>
          <w:lang w:val="en-IE"/>
        </w:rPr>
        <w:t>, so fresh isolates should be used for identification reactions.</w:t>
      </w:r>
      <w:r w:rsidR="00201689" w:rsidRPr="007E51E0">
        <w:rPr>
          <w:lang w:val="en-IE"/>
        </w:rPr>
        <w:t xml:space="preserve"> </w:t>
      </w:r>
      <w:r w:rsidR="00F63F9B" w:rsidRPr="007E51E0">
        <w:rPr>
          <w:lang w:val="en-IE"/>
        </w:rPr>
        <w:t xml:space="preserve">The positive biochemical reactions include reduction of nitrates, utilisation of arginine by arginine </w:t>
      </w:r>
      <w:proofErr w:type="spellStart"/>
      <w:r w:rsidR="00F63F9B" w:rsidRPr="007E51E0">
        <w:rPr>
          <w:lang w:val="en-IE"/>
        </w:rPr>
        <w:t>dihydrolase</w:t>
      </w:r>
      <w:proofErr w:type="spellEnd"/>
      <w:r w:rsidR="00F63F9B" w:rsidRPr="007E51E0">
        <w:rPr>
          <w:lang w:val="en-IE"/>
        </w:rPr>
        <w:t>, assimilation of glucose, N-acetyl glucosamine and gluconate. Strain to strain variation is observed in the assimilation reactions of arabinose, fructose, mannose, mannitol, adipic acid, malate, trisodium citrate, phenyl acetic acid and VP reaction, which needs an incubation time of 48</w:t>
      </w:r>
      <w:r w:rsidR="00AE5661" w:rsidRPr="007E51E0">
        <w:rPr>
          <w:lang w:val="en-IE"/>
        </w:rPr>
        <w:t xml:space="preserve"> </w:t>
      </w:r>
      <w:r w:rsidR="00F63F9B" w:rsidRPr="007E51E0">
        <w:rPr>
          <w:lang w:val="en-IE"/>
        </w:rPr>
        <w:t>h</w:t>
      </w:r>
      <w:r w:rsidR="00AE5661" w:rsidRPr="007E51E0">
        <w:rPr>
          <w:lang w:val="en-IE"/>
        </w:rPr>
        <w:t>ours</w:t>
      </w:r>
      <w:r w:rsidR="00F63F9B" w:rsidRPr="007E51E0">
        <w:rPr>
          <w:lang w:val="en-IE"/>
        </w:rPr>
        <w:t>.</w:t>
      </w:r>
      <w:r w:rsidR="007E56A8" w:rsidRPr="007E51E0">
        <w:rPr>
          <w:lang w:val="en-IE"/>
        </w:rPr>
        <w:t xml:space="preserve"> Indole is not produced, horse blood is not haemolysed and no diffusible pigments are produced in cultures. </w:t>
      </w:r>
      <w:r w:rsidR="00B87389" w:rsidRPr="007E51E0">
        <w:t xml:space="preserve">Various biochemical characteristics can be used for </w:t>
      </w:r>
      <w:r w:rsidR="001A7177" w:rsidRPr="007E51E0">
        <w:t xml:space="preserve">the differentiation of </w:t>
      </w:r>
      <w:r w:rsidR="001A7177" w:rsidRPr="007E51E0">
        <w:rPr>
          <w:i/>
        </w:rPr>
        <w:t>B. mallei</w:t>
      </w:r>
      <w:r w:rsidR="001A7177" w:rsidRPr="007E51E0">
        <w:t xml:space="preserve"> from </w:t>
      </w:r>
      <w:r w:rsidR="00B87389" w:rsidRPr="007E51E0">
        <w:rPr>
          <w:i/>
        </w:rPr>
        <w:t>B. </w:t>
      </w:r>
      <w:proofErr w:type="spellStart"/>
      <w:r w:rsidR="001A7177" w:rsidRPr="007E51E0">
        <w:rPr>
          <w:i/>
        </w:rPr>
        <w:t>pseudomallei</w:t>
      </w:r>
      <w:proofErr w:type="spellEnd"/>
      <w:r w:rsidR="001A7177" w:rsidRPr="007E51E0">
        <w:t xml:space="preserve">, as </w:t>
      </w:r>
      <w:r w:rsidR="001A7177" w:rsidRPr="007E51E0">
        <w:rPr>
          <w:i/>
        </w:rPr>
        <w:t>B. mallei</w:t>
      </w:r>
      <w:r w:rsidR="001A7177" w:rsidRPr="007E51E0">
        <w:t xml:space="preserve"> has lost many fermentative activities during phylogeny (Neubauer </w:t>
      </w:r>
      <w:r w:rsidR="002D09EA" w:rsidRPr="007E51E0">
        <w:rPr>
          <w:i/>
        </w:rPr>
        <w:t>et al</w:t>
      </w:r>
      <w:r w:rsidR="001A7177" w:rsidRPr="007E51E0">
        <w:rPr>
          <w:i/>
        </w:rPr>
        <w:t>.,</w:t>
      </w:r>
      <w:r w:rsidR="001A7177" w:rsidRPr="007E51E0">
        <w:t xml:space="preserve"> 1997). </w:t>
      </w:r>
      <w:r w:rsidR="00621FEE" w:rsidRPr="007E51E0">
        <w:rPr>
          <w:lang w:val="en-IE"/>
        </w:rPr>
        <w:t xml:space="preserve">Commercially available </w:t>
      </w:r>
      <w:r w:rsidR="007E56A8" w:rsidRPr="007E51E0">
        <w:rPr>
          <w:lang w:val="en-IE"/>
        </w:rPr>
        <w:t xml:space="preserve">laboratory </w:t>
      </w:r>
      <w:r w:rsidR="00287209" w:rsidRPr="007E51E0">
        <w:rPr>
          <w:lang w:val="en-IE"/>
        </w:rPr>
        <w:t>biochemical identification</w:t>
      </w:r>
      <w:r w:rsidR="00621FEE" w:rsidRPr="007E51E0">
        <w:rPr>
          <w:lang w:val="en-IE"/>
        </w:rPr>
        <w:t xml:space="preserve"> systems</w:t>
      </w:r>
      <w:r w:rsidR="007E56A8" w:rsidRPr="007E51E0">
        <w:rPr>
          <w:lang w:val="en-IE"/>
        </w:rPr>
        <w:t xml:space="preserve"> can be used for confirmation that an organism belongs to the </w:t>
      </w:r>
      <w:r w:rsidR="007E56A8" w:rsidRPr="007E51E0">
        <w:rPr>
          <w:i/>
          <w:iCs/>
          <w:lang w:val="en-IE"/>
        </w:rPr>
        <w:t>Pseudomonas</w:t>
      </w:r>
      <w:r w:rsidR="007E56A8" w:rsidRPr="007E51E0">
        <w:rPr>
          <w:lang w:val="en-IE"/>
        </w:rPr>
        <w:t xml:space="preserve"> group. In general, </w:t>
      </w:r>
      <w:r w:rsidR="00621FEE" w:rsidRPr="007E51E0">
        <w:rPr>
          <w:lang w:val="en-IE"/>
        </w:rPr>
        <w:t xml:space="preserve">however, </w:t>
      </w:r>
      <w:r w:rsidR="007E56A8" w:rsidRPr="007E51E0">
        <w:rPr>
          <w:lang w:val="en-IE"/>
        </w:rPr>
        <w:t xml:space="preserve">commercially available systems are not suitable for unambiguous identification of members of the steadily growing number of species within the genus </w:t>
      </w:r>
      <w:proofErr w:type="spellStart"/>
      <w:r w:rsidR="007E56A8" w:rsidRPr="007E51E0">
        <w:rPr>
          <w:i/>
          <w:lang w:val="en-IE"/>
        </w:rPr>
        <w:t>Burkholderia</w:t>
      </w:r>
      <w:proofErr w:type="spellEnd"/>
      <w:r w:rsidR="007E56A8" w:rsidRPr="007E51E0">
        <w:rPr>
          <w:i/>
          <w:lang w:val="en-IE"/>
        </w:rPr>
        <w:t xml:space="preserve"> </w:t>
      </w:r>
      <w:r w:rsidR="007E56A8" w:rsidRPr="007E51E0">
        <w:rPr>
          <w:lang w:val="en-IE"/>
        </w:rPr>
        <w:t>(Glass &amp; Popovic, 2005</w:t>
      </w:r>
      <w:r w:rsidR="00404D7A" w:rsidRPr="007E51E0">
        <w:rPr>
          <w:lang w:val="en-IE"/>
        </w:rPr>
        <w:t xml:space="preserve">, </w:t>
      </w:r>
      <w:proofErr w:type="spellStart"/>
      <w:r w:rsidR="002D09EA" w:rsidRPr="007E51E0">
        <w:rPr>
          <w:lang w:val="en-IE"/>
        </w:rPr>
        <w:t>Hemarajata</w:t>
      </w:r>
      <w:proofErr w:type="spellEnd"/>
      <w:r w:rsidR="002D09EA" w:rsidRPr="007E51E0">
        <w:rPr>
          <w:lang w:val="en-IE"/>
        </w:rPr>
        <w:t xml:space="preserve"> </w:t>
      </w:r>
      <w:r w:rsidR="002D09EA" w:rsidRPr="007E51E0">
        <w:rPr>
          <w:i/>
          <w:lang w:val="en-IE"/>
        </w:rPr>
        <w:t>et al</w:t>
      </w:r>
      <w:r w:rsidR="002D09EA" w:rsidRPr="007E51E0">
        <w:rPr>
          <w:lang w:val="en-IE"/>
        </w:rPr>
        <w:t xml:space="preserve">., 2016; </w:t>
      </w:r>
      <w:r w:rsidR="00CD4D43" w:rsidRPr="007E51E0">
        <w:rPr>
          <w:lang w:val="en-IE"/>
        </w:rPr>
        <w:t xml:space="preserve">Inglis </w:t>
      </w:r>
      <w:r w:rsidR="002D09EA" w:rsidRPr="007E51E0">
        <w:rPr>
          <w:i/>
          <w:lang w:val="en-IE"/>
        </w:rPr>
        <w:t>et al</w:t>
      </w:r>
      <w:r w:rsidR="00CD4D43" w:rsidRPr="007E51E0">
        <w:rPr>
          <w:lang w:val="en-IE"/>
        </w:rPr>
        <w:t>., 2005</w:t>
      </w:r>
      <w:r w:rsidR="002D09EA" w:rsidRPr="007E51E0">
        <w:rPr>
          <w:lang w:val="en-IE"/>
        </w:rPr>
        <w:t>;</w:t>
      </w:r>
      <w:r w:rsidR="006D3D1D" w:rsidRPr="007E51E0">
        <w:rPr>
          <w:lang w:val="en-IE"/>
        </w:rPr>
        <w:t xml:space="preserve"> </w:t>
      </w:r>
      <w:r w:rsidR="00404D7A" w:rsidRPr="007E51E0">
        <w:rPr>
          <w:lang w:val="en-IE"/>
        </w:rPr>
        <w:t xml:space="preserve">Kingsley </w:t>
      </w:r>
      <w:r w:rsidR="002D09EA" w:rsidRPr="007E51E0">
        <w:rPr>
          <w:i/>
          <w:lang w:val="en-IE"/>
        </w:rPr>
        <w:t>et al</w:t>
      </w:r>
      <w:r w:rsidR="00404D7A" w:rsidRPr="007E51E0">
        <w:rPr>
          <w:lang w:val="en-IE"/>
        </w:rPr>
        <w:t>., 2016</w:t>
      </w:r>
      <w:r w:rsidR="00B87389" w:rsidRPr="007E51E0">
        <w:rPr>
          <w:lang w:val="en-IE"/>
        </w:rPr>
        <w:t>a</w:t>
      </w:r>
      <w:r w:rsidR="006D3D1D" w:rsidRPr="007E51E0">
        <w:rPr>
          <w:lang w:val="en-IE"/>
        </w:rPr>
        <w:t xml:space="preserve">; </w:t>
      </w:r>
      <w:r w:rsidR="002D09EA" w:rsidRPr="007E51E0">
        <w:rPr>
          <w:lang w:val="en-IE"/>
        </w:rPr>
        <w:t xml:space="preserve">Lau </w:t>
      </w:r>
      <w:r w:rsidR="002D09EA" w:rsidRPr="007E51E0">
        <w:rPr>
          <w:i/>
          <w:lang w:val="en-IE"/>
        </w:rPr>
        <w:t>et al</w:t>
      </w:r>
      <w:r w:rsidR="002D09EA" w:rsidRPr="007E51E0">
        <w:rPr>
          <w:lang w:val="en-IE"/>
        </w:rPr>
        <w:t xml:space="preserve">., 2015; Zong </w:t>
      </w:r>
      <w:r w:rsidR="002D09EA" w:rsidRPr="007E51E0">
        <w:rPr>
          <w:i/>
          <w:lang w:val="en-IE"/>
        </w:rPr>
        <w:t>et al</w:t>
      </w:r>
      <w:r w:rsidR="002D09EA" w:rsidRPr="007E51E0">
        <w:rPr>
          <w:lang w:val="en-IE"/>
        </w:rPr>
        <w:t>., 2012</w:t>
      </w:r>
      <w:r w:rsidR="007E56A8" w:rsidRPr="007E51E0">
        <w:rPr>
          <w:lang w:val="en-IE"/>
        </w:rPr>
        <w:t xml:space="preserve">). Lack of motility is therefore of special relevance. </w:t>
      </w:r>
      <w:r w:rsidR="00F41795" w:rsidRPr="007E51E0">
        <w:rPr>
          <w:lang w:val="en-IE"/>
        </w:rPr>
        <w:t>C</w:t>
      </w:r>
      <w:r w:rsidR="00CD55B4" w:rsidRPr="007E51E0">
        <w:rPr>
          <w:lang w:val="en-IE"/>
        </w:rPr>
        <w:t xml:space="preserve">ell </w:t>
      </w:r>
      <w:r w:rsidR="002D09EA" w:rsidRPr="007E51E0">
        <w:rPr>
          <w:lang w:val="en-IE"/>
        </w:rPr>
        <w:t xml:space="preserve">matrix-assisted laser desorption/ionisation </w:t>
      </w:r>
      <w:r w:rsidR="00CD55B4" w:rsidRPr="007E51E0">
        <w:rPr>
          <w:lang w:val="en-IE"/>
        </w:rPr>
        <w:t>mass spectrometric typing</w:t>
      </w:r>
      <w:r w:rsidR="00F41795" w:rsidRPr="007E51E0">
        <w:rPr>
          <w:lang w:val="en-IE"/>
        </w:rPr>
        <w:t xml:space="preserve"> can be used</w:t>
      </w:r>
      <w:r w:rsidR="00CD55B4" w:rsidRPr="007E51E0">
        <w:rPr>
          <w:lang w:val="en-IE"/>
        </w:rPr>
        <w:t xml:space="preserve"> (</w:t>
      </w:r>
      <w:r w:rsidR="002D09EA" w:rsidRPr="007E51E0">
        <w:rPr>
          <w:lang w:val="en-IE"/>
        </w:rPr>
        <w:t>Cunningham &amp; Patel, 201</w:t>
      </w:r>
      <w:r w:rsidR="00075E7C">
        <w:rPr>
          <w:lang w:val="en-IE"/>
        </w:rPr>
        <w:t>3</w:t>
      </w:r>
      <w:r w:rsidR="002D09EA" w:rsidRPr="007E51E0">
        <w:rPr>
          <w:lang w:val="en-IE"/>
        </w:rPr>
        <w:t xml:space="preserve">; </w:t>
      </w:r>
      <w:r w:rsidR="00CD55B4" w:rsidRPr="007E51E0">
        <w:rPr>
          <w:lang w:val="en-IE"/>
        </w:rPr>
        <w:t xml:space="preserve">Karger </w:t>
      </w:r>
      <w:r w:rsidR="002D09EA" w:rsidRPr="007E51E0">
        <w:rPr>
          <w:i/>
          <w:lang w:val="en-IE"/>
        </w:rPr>
        <w:t>et al</w:t>
      </w:r>
      <w:r w:rsidR="00CD55B4" w:rsidRPr="007E51E0">
        <w:rPr>
          <w:lang w:val="en-IE"/>
        </w:rPr>
        <w:t>. 2012</w:t>
      </w:r>
      <w:r w:rsidR="00404D7A" w:rsidRPr="007E51E0">
        <w:rPr>
          <w:lang w:val="en-IE"/>
        </w:rPr>
        <w:t>).</w:t>
      </w:r>
      <w:r w:rsidR="00FE3A87" w:rsidRPr="007E51E0">
        <w:rPr>
          <w:lang w:val="en-IE"/>
        </w:rPr>
        <w:t xml:space="preserve"> </w:t>
      </w:r>
      <w:r w:rsidR="007E56A8" w:rsidRPr="007E51E0">
        <w:rPr>
          <w:lang w:val="en-IE"/>
        </w:rPr>
        <w:t xml:space="preserve">A bacteriophage specific for </w:t>
      </w:r>
      <w:r w:rsidR="007E56A8" w:rsidRPr="007E51E0">
        <w:rPr>
          <w:i/>
          <w:iCs/>
          <w:lang w:val="en-IE"/>
        </w:rPr>
        <w:t>B.</w:t>
      </w:r>
      <w:r w:rsidR="002D09EA" w:rsidRPr="007E51E0">
        <w:rPr>
          <w:i/>
          <w:iCs/>
          <w:lang w:val="en-IE"/>
        </w:rPr>
        <w:t> </w:t>
      </w:r>
      <w:r w:rsidR="007E56A8" w:rsidRPr="007E51E0">
        <w:rPr>
          <w:i/>
          <w:iCs/>
          <w:lang w:val="en-IE"/>
        </w:rPr>
        <w:t>mallei</w:t>
      </w:r>
      <w:r w:rsidR="007E56A8" w:rsidRPr="007E51E0">
        <w:rPr>
          <w:lang w:val="en-IE"/>
        </w:rPr>
        <w:t xml:space="preserve"> is available.</w:t>
      </w:r>
      <w:r w:rsidR="002071FA" w:rsidRPr="007E51E0">
        <w:rPr>
          <w:lang w:val="en-IE"/>
        </w:rPr>
        <w:t xml:space="preserve"> </w:t>
      </w:r>
      <w:r w:rsidR="00202DA8" w:rsidRPr="007E51E0">
        <w:t>Reference laboratories or speciali</w:t>
      </w:r>
      <w:r w:rsidR="002D09EA" w:rsidRPr="007E51E0">
        <w:t>s</w:t>
      </w:r>
      <w:r w:rsidR="00202DA8" w:rsidRPr="007E51E0">
        <w:t xml:space="preserve">ed laboratories use </w:t>
      </w:r>
      <w:r w:rsidR="002071FA" w:rsidRPr="007E51E0">
        <w:rPr>
          <w:i/>
        </w:rPr>
        <w:t>B</w:t>
      </w:r>
      <w:r w:rsidR="002D09EA" w:rsidRPr="007E51E0">
        <w:rPr>
          <w:i/>
        </w:rPr>
        <w:t>. </w:t>
      </w:r>
      <w:proofErr w:type="spellStart"/>
      <w:r w:rsidR="002071FA" w:rsidRPr="007E51E0">
        <w:rPr>
          <w:i/>
        </w:rPr>
        <w:t>pseudomallei</w:t>
      </w:r>
      <w:proofErr w:type="spellEnd"/>
      <w:r w:rsidR="00B87389" w:rsidRPr="007E51E0">
        <w:t>-</w:t>
      </w:r>
      <w:r w:rsidR="002071FA" w:rsidRPr="007E51E0">
        <w:t xml:space="preserve">specific antibodies </w:t>
      </w:r>
      <w:r w:rsidR="002D09EA" w:rsidRPr="007E51E0">
        <w:t>that</w:t>
      </w:r>
      <w:r w:rsidR="002071FA" w:rsidRPr="007E51E0">
        <w:t xml:space="preserve"> are not commercially available</w:t>
      </w:r>
      <w:r w:rsidR="00202DA8" w:rsidRPr="007E51E0">
        <w:t xml:space="preserve"> and </w:t>
      </w:r>
      <w:r w:rsidR="002D09EA" w:rsidRPr="007E51E0">
        <w:t>that</w:t>
      </w:r>
      <w:r w:rsidR="00202DA8" w:rsidRPr="007E51E0">
        <w:t xml:space="preserve"> have not been validated for use in equids (Sprague </w:t>
      </w:r>
      <w:r w:rsidR="002D09EA" w:rsidRPr="007E51E0">
        <w:t>&amp;</w:t>
      </w:r>
      <w:r w:rsidR="00202DA8" w:rsidRPr="007E51E0">
        <w:t xml:space="preserve"> Neubauer, 2004)</w:t>
      </w:r>
    </w:p>
    <w:p w14:paraId="37B404A1" w14:textId="77777777" w:rsidR="007E56A8" w:rsidRPr="007E51E0" w:rsidRDefault="007E56A8" w:rsidP="00377987">
      <w:pPr>
        <w:pStyle w:val="11Para"/>
        <w:rPr>
          <w:lang w:val="en-IE"/>
        </w:rPr>
      </w:pPr>
      <w:r w:rsidRPr="007E51E0">
        <w:rPr>
          <w:lang w:val="en-IE"/>
        </w:rPr>
        <w:t>All prepared culture media should be subjected to quality control and must support growth of the suspect organism from a small inoculum. The reference strain should be cultured in parallel with the suspicious samples to ensure that the tests are functioning correctly.</w:t>
      </w:r>
    </w:p>
    <w:p w14:paraId="10226E08" w14:textId="7611A756" w:rsidR="007E56A8" w:rsidRPr="007E51E0" w:rsidRDefault="007E56A8" w:rsidP="00622046">
      <w:pPr>
        <w:pStyle w:val="11Para"/>
        <w:rPr>
          <w:lang w:val="en-IE"/>
        </w:rPr>
      </w:pPr>
      <w:r w:rsidRPr="007E51E0">
        <w:rPr>
          <w:lang w:val="en-IE"/>
        </w:rPr>
        <w:lastRenderedPageBreak/>
        <w:t xml:space="preserve">In contaminated samples, supplementation of media with substances that inhibit the growth of Gram-positive organisms (e.g. crystal violet, proflavine) has proven to be useful, as well as pre-treatment with penicillin (1000 units/ml for 3 hours at 37°C). A </w:t>
      </w:r>
      <w:r w:rsidR="00002C4C" w:rsidRPr="007E51E0">
        <w:rPr>
          <w:lang w:val="en-IE"/>
        </w:rPr>
        <w:t>semi-</w:t>
      </w:r>
      <w:r w:rsidRPr="007E51E0">
        <w:rPr>
          <w:lang w:val="en-IE"/>
        </w:rPr>
        <w:t xml:space="preserve">selective medium (Xie </w:t>
      </w:r>
      <w:r w:rsidRPr="007E51E0">
        <w:rPr>
          <w:i/>
          <w:lang w:val="en-IE"/>
        </w:rPr>
        <w:t>et al.</w:t>
      </w:r>
      <w:r w:rsidRPr="007E51E0">
        <w:rPr>
          <w:lang w:val="en-IE"/>
        </w:rPr>
        <w:t xml:space="preserve">, 1980) composed of polymyxin E (1000 units), bacitracin (250 units), and </w:t>
      </w:r>
      <w:proofErr w:type="spellStart"/>
      <w:r w:rsidRPr="007E51E0">
        <w:rPr>
          <w:lang w:val="en-IE"/>
        </w:rPr>
        <w:t>actidione</w:t>
      </w:r>
      <w:proofErr w:type="spellEnd"/>
      <w:r w:rsidRPr="007E51E0">
        <w:rPr>
          <w:lang w:val="en-IE"/>
        </w:rPr>
        <w:t xml:space="preserve"> (0.25 mg) incorporated into nutrient agar (100 ml) containing glycerine (4%), donkey or horse serum (10%), and ovine haemoglobin or tryptone agar (0.1%) has been developed.</w:t>
      </w:r>
      <w:r w:rsidR="00621FEE" w:rsidRPr="007E51E0">
        <w:rPr>
          <w:lang w:val="en-IE"/>
        </w:rPr>
        <w:t xml:space="preserve"> </w:t>
      </w:r>
      <w:r w:rsidR="00F63F9B" w:rsidRPr="007E51E0">
        <w:rPr>
          <w:lang w:val="en-IE"/>
        </w:rPr>
        <w:t xml:space="preserve">Heavily contaminated samples should also be streaked onto stiff blood agar (3% agar) which inhibits the growth of </w:t>
      </w:r>
      <w:r w:rsidR="00F63F9B" w:rsidRPr="007E51E0">
        <w:rPr>
          <w:i/>
          <w:lang w:val="en-IE"/>
        </w:rPr>
        <w:t>Proteus</w:t>
      </w:r>
      <w:r w:rsidR="00F63F9B" w:rsidRPr="007E51E0">
        <w:rPr>
          <w:lang w:val="en-IE"/>
        </w:rPr>
        <w:t xml:space="preserve"> spp., and onto </w:t>
      </w:r>
      <w:proofErr w:type="spellStart"/>
      <w:r w:rsidR="00F63F9B" w:rsidRPr="007E51E0">
        <w:rPr>
          <w:lang w:val="en-IE"/>
        </w:rPr>
        <w:t>Sabouraud</w:t>
      </w:r>
      <w:proofErr w:type="spellEnd"/>
      <w:r w:rsidR="00F63F9B" w:rsidRPr="007E51E0">
        <w:rPr>
          <w:lang w:val="en-IE"/>
        </w:rPr>
        <w:t xml:space="preserve"> dextrose agar which inhibits the growth of many Gram-positive and Gram-negative bacteria in glanders samples. These samples should also be streaked onto blood agar and incubated for 24</w:t>
      </w:r>
      <w:r w:rsidR="00AE5661" w:rsidRPr="007E51E0">
        <w:rPr>
          <w:lang w:val="en-IE"/>
        </w:rPr>
        <w:t xml:space="preserve"> </w:t>
      </w:r>
      <w:r w:rsidR="00F63F9B" w:rsidRPr="007E51E0">
        <w:rPr>
          <w:lang w:val="en-IE"/>
        </w:rPr>
        <w:t>h</w:t>
      </w:r>
      <w:r w:rsidR="00AE5661" w:rsidRPr="007E51E0">
        <w:rPr>
          <w:lang w:val="en-IE"/>
        </w:rPr>
        <w:t>ours</w:t>
      </w:r>
      <w:r w:rsidR="00F63F9B" w:rsidRPr="007E51E0">
        <w:rPr>
          <w:lang w:val="en-IE"/>
        </w:rPr>
        <w:t xml:space="preserve"> anaerobically to inhibit the growth of obligate aerobes. Isolation of </w:t>
      </w:r>
      <w:r w:rsidR="00F63F9B" w:rsidRPr="007E51E0">
        <w:rPr>
          <w:i/>
          <w:lang w:val="en-IE"/>
        </w:rPr>
        <w:t>B. mallei</w:t>
      </w:r>
      <w:r w:rsidR="00F63F9B" w:rsidRPr="007E51E0">
        <w:rPr>
          <w:lang w:val="en-IE"/>
        </w:rPr>
        <w:t xml:space="preserve"> from the anaerobic plates needs a further 24</w:t>
      </w:r>
      <w:r w:rsidR="00536671" w:rsidRPr="007E51E0">
        <w:rPr>
          <w:lang w:val="en-IE"/>
        </w:rPr>
        <w:t xml:space="preserve"> </w:t>
      </w:r>
      <w:r w:rsidR="00F63F9B" w:rsidRPr="007E51E0">
        <w:rPr>
          <w:lang w:val="en-IE"/>
        </w:rPr>
        <w:t>h</w:t>
      </w:r>
      <w:r w:rsidR="00536671" w:rsidRPr="007E51E0">
        <w:rPr>
          <w:lang w:val="en-IE"/>
        </w:rPr>
        <w:t>ours’</w:t>
      </w:r>
      <w:r w:rsidR="00F63F9B" w:rsidRPr="007E51E0">
        <w:rPr>
          <w:lang w:val="en-IE"/>
        </w:rPr>
        <w:t xml:space="preserve"> incubation at 37°C</w:t>
      </w:r>
      <w:r w:rsidR="00C87040" w:rsidRPr="007E51E0">
        <w:rPr>
          <w:lang w:val="en-IE"/>
        </w:rPr>
        <w:t>.</w:t>
      </w:r>
      <w:r w:rsidR="00F63F9B" w:rsidRPr="007E51E0">
        <w:rPr>
          <w:lang w:val="en-IE"/>
        </w:rPr>
        <w:t xml:space="preserve"> </w:t>
      </w:r>
      <w:r w:rsidR="00621FEE" w:rsidRPr="007E51E0">
        <w:rPr>
          <w:lang w:val="en-IE"/>
        </w:rPr>
        <w:t>PCR methods may also prove useful for testing contaminated samples.</w:t>
      </w:r>
    </w:p>
    <w:p w14:paraId="24970673" w14:textId="28037E4B" w:rsidR="002071FA" w:rsidRPr="007E51E0" w:rsidRDefault="002071FA" w:rsidP="00377987">
      <w:pPr>
        <w:pStyle w:val="11Para"/>
        <w:rPr>
          <w:lang w:val="en-IE" w:eastAsia="de-DE"/>
        </w:rPr>
      </w:pPr>
      <w:r w:rsidRPr="007E51E0">
        <w:rPr>
          <w:lang w:val="en-IE"/>
        </w:rPr>
        <w:t xml:space="preserve">No validated procedures for the isolation of </w:t>
      </w:r>
      <w:r w:rsidRPr="007E51E0">
        <w:rPr>
          <w:i/>
          <w:lang w:val="en-IE"/>
        </w:rPr>
        <w:t>B</w:t>
      </w:r>
      <w:r w:rsidR="002D09EA" w:rsidRPr="007E51E0">
        <w:rPr>
          <w:i/>
          <w:lang w:val="en-IE"/>
        </w:rPr>
        <w:t>.</w:t>
      </w:r>
      <w:r w:rsidRPr="007E51E0">
        <w:rPr>
          <w:i/>
          <w:lang w:val="en-IE"/>
        </w:rPr>
        <w:t xml:space="preserve"> </w:t>
      </w:r>
      <w:proofErr w:type="spellStart"/>
      <w:r w:rsidRPr="007E51E0">
        <w:rPr>
          <w:i/>
          <w:lang w:val="en-IE"/>
        </w:rPr>
        <w:t>pseudomallei</w:t>
      </w:r>
      <w:proofErr w:type="spellEnd"/>
      <w:r w:rsidRPr="007E51E0">
        <w:rPr>
          <w:lang w:val="en-IE"/>
        </w:rPr>
        <w:t xml:space="preserve"> from horse samples exist. Cultivation may be succes</w:t>
      </w:r>
      <w:r w:rsidR="00C656FC" w:rsidRPr="007E51E0">
        <w:rPr>
          <w:lang w:val="en-IE"/>
        </w:rPr>
        <w:t>sful from samples of ulcers, le</w:t>
      </w:r>
      <w:r w:rsidRPr="007E51E0">
        <w:rPr>
          <w:lang w:val="en-IE"/>
        </w:rPr>
        <w:t xml:space="preserve">sions or excretions. </w:t>
      </w:r>
      <w:r w:rsidRPr="007E51E0">
        <w:rPr>
          <w:lang w:val="en-IE" w:eastAsia="de-DE"/>
        </w:rPr>
        <w:t>Standard media</w:t>
      </w:r>
      <w:r w:rsidR="00B87389" w:rsidRPr="007E51E0">
        <w:rPr>
          <w:lang w:val="en-IE" w:eastAsia="de-DE"/>
        </w:rPr>
        <w:t>,</w:t>
      </w:r>
      <w:r w:rsidRPr="007E51E0">
        <w:rPr>
          <w:lang w:val="en-IE" w:eastAsia="de-DE"/>
        </w:rPr>
        <w:t xml:space="preserve"> i.e. blood or MacConkey agar</w:t>
      </w:r>
      <w:r w:rsidR="00B87389" w:rsidRPr="007E51E0">
        <w:rPr>
          <w:lang w:val="en-IE" w:eastAsia="de-DE"/>
        </w:rPr>
        <w:t>,</w:t>
      </w:r>
      <w:r w:rsidRPr="007E51E0">
        <w:rPr>
          <w:lang w:val="en-IE" w:eastAsia="de-DE"/>
        </w:rPr>
        <w:t xml:space="preserve"> are used for isolation of </w:t>
      </w:r>
      <w:r w:rsidRPr="007E51E0">
        <w:rPr>
          <w:i/>
          <w:lang w:val="en-IE" w:eastAsia="de-DE"/>
        </w:rPr>
        <w:t xml:space="preserve">B. </w:t>
      </w:r>
      <w:proofErr w:type="spellStart"/>
      <w:r w:rsidRPr="007E51E0">
        <w:rPr>
          <w:i/>
          <w:lang w:val="en-IE" w:eastAsia="de-DE"/>
        </w:rPr>
        <w:t>pseudomallei</w:t>
      </w:r>
      <w:proofErr w:type="spellEnd"/>
      <w:r w:rsidRPr="007E51E0">
        <w:rPr>
          <w:lang w:val="en-IE" w:eastAsia="de-DE"/>
        </w:rPr>
        <w:t xml:space="preserve"> and selective enrichment techniques e.g. Ashdown agar, </w:t>
      </w:r>
      <w:proofErr w:type="spellStart"/>
      <w:r w:rsidRPr="007E51E0">
        <w:rPr>
          <w:lang w:val="en-IE" w:eastAsia="de-DE"/>
        </w:rPr>
        <w:t>Galimand’s</w:t>
      </w:r>
      <w:proofErr w:type="spellEnd"/>
      <w:r w:rsidRPr="007E51E0">
        <w:rPr>
          <w:lang w:val="en-IE" w:eastAsia="de-DE"/>
        </w:rPr>
        <w:t xml:space="preserve"> broth or </w:t>
      </w:r>
      <w:r w:rsidRPr="007E51E0">
        <w:rPr>
          <w:i/>
          <w:lang w:val="en-IE" w:eastAsia="de-DE"/>
        </w:rPr>
        <w:t xml:space="preserve">B. </w:t>
      </w:r>
      <w:proofErr w:type="spellStart"/>
      <w:r w:rsidRPr="007E51E0">
        <w:rPr>
          <w:i/>
          <w:lang w:val="en-IE" w:eastAsia="de-DE"/>
        </w:rPr>
        <w:t>pseudomallei</w:t>
      </w:r>
      <w:proofErr w:type="spellEnd"/>
      <w:r w:rsidRPr="007E51E0">
        <w:rPr>
          <w:lang w:val="en-IE" w:eastAsia="de-DE"/>
        </w:rPr>
        <w:t xml:space="preserve"> selective agar (BPSA) </w:t>
      </w:r>
      <w:r w:rsidR="00F41795" w:rsidRPr="007E51E0">
        <w:rPr>
          <w:lang w:val="en-IE" w:eastAsia="de-DE"/>
        </w:rPr>
        <w:t xml:space="preserve">have been </w:t>
      </w:r>
      <w:r w:rsidRPr="007E51E0">
        <w:rPr>
          <w:lang w:val="en-IE" w:eastAsia="de-DE"/>
        </w:rPr>
        <w:t>developed (</w:t>
      </w:r>
      <w:proofErr w:type="spellStart"/>
      <w:r w:rsidR="00502798" w:rsidRPr="007E51E0">
        <w:rPr>
          <w:lang w:val="en-IE" w:eastAsia="de-DE"/>
        </w:rPr>
        <w:t>Limmathurotsakul</w:t>
      </w:r>
      <w:proofErr w:type="spellEnd"/>
      <w:r w:rsidR="00502798" w:rsidRPr="007E51E0">
        <w:rPr>
          <w:lang w:val="en-IE" w:eastAsia="de-DE"/>
        </w:rPr>
        <w:t xml:space="preserve"> </w:t>
      </w:r>
      <w:r w:rsidR="00502798" w:rsidRPr="007E51E0">
        <w:rPr>
          <w:i/>
          <w:lang w:val="en-IE" w:eastAsia="de-DE"/>
        </w:rPr>
        <w:t>et al</w:t>
      </w:r>
      <w:r w:rsidR="00502798" w:rsidRPr="007E51E0">
        <w:rPr>
          <w:lang w:val="en-IE" w:eastAsia="de-DE"/>
        </w:rPr>
        <w:t xml:space="preserve">., 2012; </w:t>
      </w:r>
      <w:r w:rsidR="00A177C0" w:rsidRPr="007E51E0">
        <w:rPr>
          <w:lang w:val="en-IE" w:eastAsia="de-DE"/>
        </w:rPr>
        <w:t xml:space="preserve">Peacock </w:t>
      </w:r>
      <w:r w:rsidR="002D09EA" w:rsidRPr="007E51E0">
        <w:rPr>
          <w:i/>
          <w:lang w:val="en-IE" w:eastAsia="de-DE"/>
        </w:rPr>
        <w:t>et al</w:t>
      </w:r>
      <w:r w:rsidR="00A177C0" w:rsidRPr="007E51E0">
        <w:rPr>
          <w:lang w:val="en-IE" w:eastAsia="de-DE"/>
        </w:rPr>
        <w:t>., 2005</w:t>
      </w:r>
      <w:r w:rsidR="00502798" w:rsidRPr="007E51E0">
        <w:rPr>
          <w:lang w:val="en-IE" w:eastAsia="de-DE"/>
        </w:rPr>
        <w:t>;</w:t>
      </w:r>
      <w:r w:rsidR="00A177C0" w:rsidRPr="007E51E0">
        <w:rPr>
          <w:lang w:val="en-IE" w:eastAsia="de-DE"/>
        </w:rPr>
        <w:t xml:space="preserve"> </w:t>
      </w:r>
      <w:r w:rsidR="00502798" w:rsidRPr="007E51E0">
        <w:rPr>
          <w:lang w:val="en-IE"/>
        </w:rPr>
        <w:t xml:space="preserve">Prakash </w:t>
      </w:r>
      <w:r w:rsidR="00502798" w:rsidRPr="007E51E0">
        <w:rPr>
          <w:i/>
          <w:lang w:val="en-IE"/>
        </w:rPr>
        <w:t>et al</w:t>
      </w:r>
      <w:r w:rsidR="00502798" w:rsidRPr="007E51E0">
        <w:rPr>
          <w:lang w:val="en-IE"/>
        </w:rPr>
        <w:t>.,</w:t>
      </w:r>
      <w:r w:rsidR="00502798" w:rsidRPr="007E51E0">
        <w:rPr>
          <w:smallCaps/>
          <w:lang w:val="en-IE"/>
        </w:rPr>
        <w:t xml:space="preserve"> 2014; </w:t>
      </w:r>
      <w:proofErr w:type="spellStart"/>
      <w:r w:rsidR="00502798" w:rsidRPr="007E51E0">
        <w:rPr>
          <w:lang w:val="en-IE" w:eastAsia="de-DE"/>
        </w:rPr>
        <w:t>Roesnita</w:t>
      </w:r>
      <w:proofErr w:type="spellEnd"/>
      <w:r w:rsidR="00502798" w:rsidRPr="007E51E0">
        <w:rPr>
          <w:lang w:val="en-IE" w:eastAsia="de-DE"/>
        </w:rPr>
        <w:t xml:space="preserve"> </w:t>
      </w:r>
      <w:r w:rsidR="00502798" w:rsidRPr="007E51E0">
        <w:rPr>
          <w:i/>
          <w:lang w:val="en-IE" w:eastAsia="de-DE"/>
        </w:rPr>
        <w:t>et al</w:t>
      </w:r>
      <w:r w:rsidR="00502798" w:rsidRPr="007E51E0">
        <w:rPr>
          <w:lang w:val="en-IE" w:eastAsia="de-DE"/>
        </w:rPr>
        <w:t xml:space="preserve">., 2012; Sprague &amp; Neubauer, 2004; </w:t>
      </w:r>
      <w:r w:rsidR="000B0EC9" w:rsidRPr="007E51E0">
        <w:rPr>
          <w:lang w:val="en-IE" w:eastAsia="de-DE"/>
        </w:rPr>
        <w:t xml:space="preserve">Trung </w:t>
      </w:r>
      <w:r w:rsidR="002D09EA" w:rsidRPr="007E51E0">
        <w:rPr>
          <w:i/>
          <w:lang w:val="en-IE" w:eastAsia="de-DE"/>
        </w:rPr>
        <w:t>et al</w:t>
      </w:r>
      <w:r w:rsidR="000B0EC9" w:rsidRPr="007E51E0">
        <w:rPr>
          <w:lang w:val="en-IE" w:eastAsia="de-DE"/>
        </w:rPr>
        <w:t>., 2011</w:t>
      </w:r>
      <w:r w:rsidRPr="007E51E0">
        <w:rPr>
          <w:lang w:val="en-IE" w:eastAsia="de-DE"/>
        </w:rPr>
        <w:t xml:space="preserve">). Colony morphology varies from smooth to rough depending on the medium and strain, and often becomes wrinkled after a few days of incubation. A metallic sheen over the area of confluent growth on Columbia agar is an important feature for the presumptive identification of </w:t>
      </w:r>
      <w:r w:rsidRPr="007E51E0">
        <w:rPr>
          <w:i/>
          <w:lang w:val="en-IE" w:eastAsia="de-DE"/>
        </w:rPr>
        <w:t xml:space="preserve">B. </w:t>
      </w:r>
      <w:proofErr w:type="spellStart"/>
      <w:r w:rsidRPr="007E51E0">
        <w:rPr>
          <w:i/>
          <w:lang w:val="en-IE" w:eastAsia="de-DE"/>
        </w:rPr>
        <w:t>pseudomallei</w:t>
      </w:r>
      <w:proofErr w:type="spellEnd"/>
      <w:r w:rsidRPr="007E51E0">
        <w:rPr>
          <w:lang w:val="en-IE" w:eastAsia="de-DE"/>
        </w:rPr>
        <w:t xml:space="preserve"> (Dance </w:t>
      </w:r>
      <w:r w:rsidR="002D09EA" w:rsidRPr="007E51E0">
        <w:rPr>
          <w:i/>
          <w:lang w:val="en-IE" w:eastAsia="de-DE"/>
        </w:rPr>
        <w:t>et al</w:t>
      </w:r>
      <w:r w:rsidRPr="007E51E0">
        <w:rPr>
          <w:lang w:val="en-IE" w:eastAsia="de-DE"/>
        </w:rPr>
        <w:t>., 1989).</w:t>
      </w:r>
    </w:p>
    <w:p w14:paraId="56A10CFB" w14:textId="3446F90D" w:rsidR="002D4572" w:rsidRPr="007E51E0" w:rsidRDefault="007E56A8" w:rsidP="00377987">
      <w:pPr>
        <w:pStyle w:val="11Para"/>
        <w:rPr>
          <w:lang w:val="en-IE"/>
        </w:rPr>
      </w:pPr>
      <w:r w:rsidRPr="007E51E0">
        <w:rPr>
          <w:lang w:val="en-IE"/>
        </w:rPr>
        <w:t xml:space="preserve">Outside the body, </w:t>
      </w:r>
      <w:r w:rsidR="002071FA" w:rsidRPr="007E51E0">
        <w:rPr>
          <w:i/>
          <w:lang w:val="en-IE"/>
        </w:rPr>
        <w:t>B. mallei</w:t>
      </w:r>
      <w:r w:rsidRPr="007E51E0">
        <w:rPr>
          <w:lang w:val="en-IE"/>
        </w:rPr>
        <w:t xml:space="preserve"> shows little resistance to drying, heat, light or chemicals, so that survival beyond 2 weeks is unlikely (Neubauer </w:t>
      </w:r>
      <w:r w:rsidRPr="007E51E0">
        <w:rPr>
          <w:i/>
          <w:lang w:val="en-IE"/>
        </w:rPr>
        <w:t>et al.</w:t>
      </w:r>
      <w:r w:rsidRPr="007E51E0">
        <w:rPr>
          <w:lang w:val="en-IE"/>
        </w:rPr>
        <w:t xml:space="preserve">, 1997). Under favourable conditions, however, it can probably survive a few months. </w:t>
      </w:r>
      <w:proofErr w:type="spellStart"/>
      <w:r w:rsidRPr="007E51E0">
        <w:rPr>
          <w:i/>
          <w:iCs/>
          <w:lang w:val="en-IE"/>
        </w:rPr>
        <w:t>Burkholderia</w:t>
      </w:r>
      <w:proofErr w:type="spellEnd"/>
      <w:r w:rsidRPr="007E51E0">
        <w:rPr>
          <w:i/>
          <w:iCs/>
          <w:lang w:val="en-IE"/>
        </w:rPr>
        <w:t xml:space="preserve"> mallei</w:t>
      </w:r>
      <w:r w:rsidRPr="007E51E0">
        <w:rPr>
          <w:lang w:val="en-IE"/>
        </w:rPr>
        <w:t xml:space="preserve"> can remain viable in tap water for at lea</w:t>
      </w:r>
      <w:r w:rsidR="00BF7219" w:rsidRPr="007E51E0">
        <w:rPr>
          <w:lang w:val="en-IE"/>
        </w:rPr>
        <w:t>st 1 </w:t>
      </w:r>
      <w:r w:rsidRPr="007E51E0">
        <w:rPr>
          <w:lang w:val="en-IE"/>
        </w:rPr>
        <w:t>month. For disinfection, benzalkonium chloride (1/2,000), sodium hypochlorite (500 ppm available chlorine), iodine, mercuric chloride in alcohol, and potassium permanganate have been shown to be highly effective. Phenolic disinfectants are less effective</w:t>
      </w:r>
      <w:r w:rsidR="005E667B" w:rsidRPr="007E51E0">
        <w:rPr>
          <w:lang w:val="en-IE"/>
        </w:rPr>
        <w:t xml:space="preserve"> </w:t>
      </w:r>
      <w:r w:rsidR="007E0F88" w:rsidRPr="007E51E0">
        <w:rPr>
          <w:lang w:val="en-IE"/>
        </w:rPr>
        <w:t>(</w:t>
      </w:r>
      <w:r w:rsidR="005E667B" w:rsidRPr="007E51E0">
        <w:rPr>
          <w:lang w:val="en-IE"/>
        </w:rPr>
        <w:t>St</w:t>
      </w:r>
      <w:r w:rsidR="007E0F88" w:rsidRPr="007E51E0">
        <w:rPr>
          <w:lang w:val="en-IE"/>
        </w:rPr>
        <w:t>.</w:t>
      </w:r>
      <w:r w:rsidR="005E667B" w:rsidRPr="007E51E0">
        <w:rPr>
          <w:lang w:val="en-IE"/>
        </w:rPr>
        <w:t xml:space="preserve"> Georgiev</w:t>
      </w:r>
      <w:r w:rsidR="007E0F88" w:rsidRPr="007E51E0">
        <w:rPr>
          <w:lang w:val="en-IE"/>
        </w:rPr>
        <w:t>,</w:t>
      </w:r>
      <w:r w:rsidR="005E667B" w:rsidRPr="007E51E0">
        <w:rPr>
          <w:lang w:val="en-IE"/>
        </w:rPr>
        <w:t xml:space="preserve"> </w:t>
      </w:r>
      <w:r w:rsidR="002B2E91" w:rsidRPr="007E51E0">
        <w:rPr>
          <w:lang w:val="en-IE"/>
        </w:rPr>
        <w:t>2008)</w:t>
      </w:r>
      <w:r w:rsidRPr="007E51E0">
        <w:rPr>
          <w:lang w:val="en-IE"/>
        </w:rPr>
        <w:t>.</w:t>
      </w:r>
      <w:r w:rsidR="003443E9" w:rsidRPr="007E51E0">
        <w:rPr>
          <w:lang w:val="en-IE"/>
        </w:rPr>
        <w:t xml:space="preserve"> </w:t>
      </w:r>
    </w:p>
    <w:p w14:paraId="1BDDFD8A" w14:textId="57D29A64" w:rsidR="002D4572" w:rsidRPr="007E51E0" w:rsidRDefault="002D4572" w:rsidP="00DE2935">
      <w:pPr>
        <w:pStyle w:val="11Para"/>
        <w:rPr>
          <w:lang w:val="en-IE"/>
        </w:rPr>
      </w:pPr>
      <w:proofErr w:type="spellStart"/>
      <w:r w:rsidRPr="007E51E0">
        <w:rPr>
          <w:i/>
          <w:lang w:val="en-IE"/>
        </w:rPr>
        <w:t>Burkholderia</w:t>
      </w:r>
      <w:proofErr w:type="spellEnd"/>
      <w:r w:rsidRPr="007E51E0">
        <w:rPr>
          <w:i/>
          <w:lang w:val="en-IE"/>
        </w:rPr>
        <w:t xml:space="preserve"> </w:t>
      </w:r>
      <w:proofErr w:type="spellStart"/>
      <w:r w:rsidRPr="007E51E0">
        <w:rPr>
          <w:i/>
          <w:lang w:val="en-IE"/>
        </w:rPr>
        <w:t>pseudomallei</w:t>
      </w:r>
      <w:proofErr w:type="spellEnd"/>
      <w:r w:rsidRPr="007E51E0">
        <w:rPr>
          <w:lang w:val="en-IE"/>
        </w:rPr>
        <w:t xml:space="preserve"> can survive in water </w:t>
      </w:r>
      <w:r w:rsidR="000B0EC9" w:rsidRPr="007E51E0">
        <w:rPr>
          <w:lang w:val="en-IE"/>
        </w:rPr>
        <w:t xml:space="preserve">16 years (Pumpuang </w:t>
      </w:r>
      <w:r w:rsidR="002D09EA" w:rsidRPr="007E51E0">
        <w:rPr>
          <w:i/>
          <w:lang w:val="en-IE"/>
        </w:rPr>
        <w:t>et al</w:t>
      </w:r>
      <w:r w:rsidR="000B0EC9" w:rsidRPr="007E51E0">
        <w:rPr>
          <w:i/>
          <w:lang w:val="en-IE"/>
        </w:rPr>
        <w:t>.,</w:t>
      </w:r>
      <w:r w:rsidR="000B0EC9" w:rsidRPr="007E51E0">
        <w:rPr>
          <w:lang w:val="en-IE"/>
        </w:rPr>
        <w:t xml:space="preserve"> 2011)</w:t>
      </w:r>
      <w:r w:rsidRPr="007E51E0">
        <w:rPr>
          <w:lang w:val="en-IE"/>
        </w:rPr>
        <w:t xml:space="preserve">, in muddy water for up to 7 months and in soil in the laboratory for up to 30 months. Chlorine has only a bacteriostatic effect on the agent as bacteria were recovered from water containing </w:t>
      </w:r>
      <w:r w:rsidR="000B0EC9" w:rsidRPr="007E51E0">
        <w:rPr>
          <w:lang w:val="en-IE"/>
        </w:rPr>
        <w:t xml:space="preserve">up to 1000 </w:t>
      </w:r>
      <w:proofErr w:type="spellStart"/>
      <w:r w:rsidR="000B0EC9" w:rsidRPr="007E51E0">
        <w:rPr>
          <w:lang w:val="en-IE"/>
        </w:rPr>
        <w:t>p.p.m.</w:t>
      </w:r>
      <w:proofErr w:type="spellEnd"/>
      <w:r w:rsidR="000B0EC9" w:rsidRPr="007E51E0">
        <w:rPr>
          <w:lang w:val="en-IE"/>
        </w:rPr>
        <w:t xml:space="preserve"> free chlorine</w:t>
      </w:r>
      <w:r w:rsidRPr="007E51E0">
        <w:rPr>
          <w:lang w:val="en-IE"/>
        </w:rPr>
        <w:t xml:space="preserve"> (</w:t>
      </w:r>
      <w:r w:rsidR="000B0EC9" w:rsidRPr="007E51E0">
        <w:rPr>
          <w:lang w:val="en-IE"/>
        </w:rPr>
        <w:t xml:space="preserve">review: </w:t>
      </w:r>
      <w:r w:rsidRPr="007E51E0">
        <w:rPr>
          <w:lang w:val="en-IE"/>
        </w:rPr>
        <w:t xml:space="preserve">Sprague </w:t>
      </w:r>
      <w:r w:rsidR="00502798" w:rsidRPr="007E51E0">
        <w:rPr>
          <w:lang w:val="en-IE"/>
        </w:rPr>
        <w:t>&amp;</w:t>
      </w:r>
      <w:r w:rsidRPr="007E51E0">
        <w:rPr>
          <w:lang w:val="en-IE"/>
        </w:rPr>
        <w:t xml:space="preserve"> Neubauer, 2004)</w:t>
      </w:r>
      <w:r w:rsidR="000B0EC9" w:rsidRPr="007E51E0">
        <w:rPr>
          <w:lang w:val="en-IE"/>
        </w:rPr>
        <w:t>.</w:t>
      </w:r>
    </w:p>
    <w:p w14:paraId="13E3DEB5" w14:textId="5933D02D" w:rsidR="007E56A8" w:rsidRPr="007E51E0" w:rsidRDefault="00F41795" w:rsidP="00377987">
      <w:pPr>
        <w:pStyle w:val="11Para"/>
        <w:rPr>
          <w:lang w:val="en-IE"/>
        </w:rPr>
      </w:pPr>
      <w:r w:rsidRPr="007E51E0">
        <w:rPr>
          <w:lang w:val="en-IE"/>
        </w:rPr>
        <w:t xml:space="preserve">National regulations and </w:t>
      </w:r>
      <w:r w:rsidR="003443E9" w:rsidRPr="007E51E0">
        <w:rPr>
          <w:lang w:val="en-IE"/>
        </w:rPr>
        <w:t xml:space="preserve">guidelines for handling and application of </w:t>
      </w:r>
      <w:r w:rsidR="00B638BC" w:rsidRPr="007E51E0">
        <w:rPr>
          <w:lang w:val="en-IE"/>
        </w:rPr>
        <w:t>disinfectants</w:t>
      </w:r>
      <w:r w:rsidR="003443E9" w:rsidRPr="007E51E0">
        <w:rPr>
          <w:lang w:val="en-IE"/>
        </w:rPr>
        <w:t xml:space="preserve"> </w:t>
      </w:r>
      <w:r w:rsidRPr="007E51E0">
        <w:rPr>
          <w:lang w:val="en-IE"/>
        </w:rPr>
        <w:t xml:space="preserve">should </w:t>
      </w:r>
      <w:r w:rsidR="003443E9" w:rsidRPr="007E51E0">
        <w:rPr>
          <w:lang w:val="en-IE"/>
        </w:rPr>
        <w:t>be observed</w:t>
      </w:r>
      <w:r w:rsidR="002B2E91" w:rsidRPr="007E51E0">
        <w:rPr>
          <w:lang w:val="en-IE"/>
        </w:rPr>
        <w:t>.</w:t>
      </w:r>
    </w:p>
    <w:p w14:paraId="27E38944" w14:textId="4A7E37AA" w:rsidR="007E56A8" w:rsidRPr="007E51E0" w:rsidRDefault="002C7223" w:rsidP="00622046">
      <w:pPr>
        <w:pStyle w:val="11"/>
        <w:rPr>
          <w:lang w:val="en-IE"/>
        </w:rPr>
      </w:pPr>
      <w:r w:rsidRPr="007E51E0">
        <w:rPr>
          <w:lang w:val="en-IE"/>
        </w:rPr>
        <w:t>2</w:t>
      </w:r>
      <w:r w:rsidR="00622046" w:rsidRPr="007E51E0">
        <w:rPr>
          <w:lang w:val="en-IE"/>
        </w:rPr>
        <w:t>.3.</w:t>
      </w:r>
      <w:r w:rsidR="007E56A8" w:rsidRPr="007E51E0">
        <w:rPr>
          <w:lang w:val="en-IE"/>
        </w:rPr>
        <w:tab/>
        <w:t xml:space="preserve">Identification of </w:t>
      </w:r>
      <w:proofErr w:type="spellStart"/>
      <w:r w:rsidR="007E56A8" w:rsidRPr="007E51E0">
        <w:rPr>
          <w:i/>
          <w:iCs/>
          <w:lang w:val="en-IE"/>
        </w:rPr>
        <w:t>Burkholderia</w:t>
      </w:r>
      <w:proofErr w:type="spellEnd"/>
      <w:r w:rsidR="007E56A8" w:rsidRPr="007E51E0">
        <w:rPr>
          <w:i/>
          <w:iCs/>
          <w:lang w:val="en-IE"/>
        </w:rPr>
        <w:t xml:space="preserve"> mallei </w:t>
      </w:r>
      <w:r w:rsidR="007E56A8" w:rsidRPr="007E51E0">
        <w:rPr>
          <w:lang w:val="en-IE"/>
        </w:rPr>
        <w:t xml:space="preserve">by polymerase chain reaction </w:t>
      </w:r>
      <w:r w:rsidR="00945E84">
        <w:rPr>
          <w:lang w:val="en-IE"/>
        </w:rPr>
        <w:t>(</w:t>
      </w:r>
      <w:r w:rsidR="00945E84" w:rsidRPr="007E51E0">
        <w:rPr>
          <w:lang w:val="en-IE"/>
        </w:rPr>
        <w:t>PCR</w:t>
      </w:r>
      <w:r w:rsidR="00945E84">
        <w:rPr>
          <w:lang w:val="en-IE"/>
        </w:rPr>
        <w:t xml:space="preserve">) </w:t>
      </w:r>
      <w:r w:rsidR="007E56A8" w:rsidRPr="007E51E0">
        <w:rPr>
          <w:lang w:val="en-IE"/>
        </w:rPr>
        <w:t>and real-time PCR</w:t>
      </w:r>
    </w:p>
    <w:p w14:paraId="5F15C26E" w14:textId="180F97A2" w:rsidR="007E56A8" w:rsidRPr="007E51E0" w:rsidRDefault="00242416" w:rsidP="00622046">
      <w:pPr>
        <w:pStyle w:val="11Para"/>
        <w:rPr>
          <w:lang w:val="en-IE"/>
        </w:rPr>
      </w:pPr>
      <w:r w:rsidRPr="007E51E0">
        <w:rPr>
          <w:lang w:val="en-IE"/>
        </w:rPr>
        <w:t xml:space="preserve">Several </w:t>
      </w:r>
      <w:r w:rsidR="007E56A8" w:rsidRPr="007E51E0">
        <w:rPr>
          <w:lang w:val="en-IE"/>
        </w:rPr>
        <w:t xml:space="preserve">PCR and real-time PCR assays for the identification of </w:t>
      </w:r>
      <w:r w:rsidR="007E56A8" w:rsidRPr="007E51E0">
        <w:rPr>
          <w:i/>
          <w:lang w:val="en-IE"/>
        </w:rPr>
        <w:t>B. mallei</w:t>
      </w:r>
      <w:r w:rsidR="007E56A8" w:rsidRPr="007E51E0">
        <w:rPr>
          <w:lang w:val="en-IE"/>
        </w:rPr>
        <w:t xml:space="preserve"> </w:t>
      </w:r>
      <w:r w:rsidR="001A7177" w:rsidRPr="007E51E0">
        <w:rPr>
          <w:lang w:val="en-IE"/>
        </w:rPr>
        <w:t xml:space="preserve">and differentiation of </w:t>
      </w:r>
      <w:r w:rsidR="001A7177" w:rsidRPr="007E51E0">
        <w:rPr>
          <w:i/>
          <w:lang w:val="en-IE"/>
        </w:rPr>
        <w:t>B.</w:t>
      </w:r>
      <w:r w:rsidR="002D09EA" w:rsidRPr="007E51E0">
        <w:rPr>
          <w:i/>
          <w:lang w:val="en-IE"/>
        </w:rPr>
        <w:t> </w:t>
      </w:r>
      <w:proofErr w:type="spellStart"/>
      <w:r w:rsidR="001A7177" w:rsidRPr="007E51E0">
        <w:rPr>
          <w:i/>
          <w:lang w:val="en-IE"/>
        </w:rPr>
        <w:t>pseudomallei</w:t>
      </w:r>
      <w:proofErr w:type="spellEnd"/>
      <w:r w:rsidR="001A7177" w:rsidRPr="007E51E0">
        <w:rPr>
          <w:lang w:val="en-IE"/>
        </w:rPr>
        <w:t xml:space="preserve"> </w:t>
      </w:r>
      <w:r w:rsidR="007E56A8" w:rsidRPr="007E51E0">
        <w:rPr>
          <w:lang w:val="en-IE"/>
        </w:rPr>
        <w:t>have been developed (</w:t>
      </w:r>
      <w:r w:rsidR="00026B4B" w:rsidRPr="007E51E0">
        <w:rPr>
          <w:lang w:val="en-IE"/>
        </w:rPr>
        <w:t>revie</w:t>
      </w:r>
      <w:r w:rsidR="00A177C0" w:rsidRPr="007E51E0">
        <w:rPr>
          <w:lang w:val="en-IE"/>
        </w:rPr>
        <w:t>w</w:t>
      </w:r>
      <w:r w:rsidR="000848F6" w:rsidRPr="007E51E0">
        <w:rPr>
          <w:lang w:val="en-IE"/>
        </w:rPr>
        <w:t xml:space="preserve"> </w:t>
      </w:r>
      <w:r w:rsidR="001A7177" w:rsidRPr="007E51E0">
        <w:rPr>
          <w:lang w:val="en-IE"/>
        </w:rPr>
        <w:t>Low</w:t>
      </w:r>
      <w:r w:rsidR="003458D6">
        <w:rPr>
          <w:lang w:val="en-IE"/>
        </w:rPr>
        <w:t>e</w:t>
      </w:r>
      <w:r w:rsidR="001A7177" w:rsidRPr="007E51E0">
        <w:rPr>
          <w:lang w:val="en-IE"/>
        </w:rPr>
        <w:t xml:space="preserve"> </w:t>
      </w:r>
      <w:r w:rsidR="001A7177" w:rsidRPr="007E51E0">
        <w:rPr>
          <w:i/>
          <w:lang w:val="en-IE"/>
        </w:rPr>
        <w:t>et al.</w:t>
      </w:r>
      <w:r w:rsidR="001A7177" w:rsidRPr="007E51E0">
        <w:rPr>
          <w:lang w:val="en-IE"/>
        </w:rPr>
        <w:t xml:space="preserve">, </w:t>
      </w:r>
      <w:r w:rsidR="0093774D" w:rsidRPr="007E51E0">
        <w:rPr>
          <w:lang w:val="en-IE"/>
        </w:rPr>
        <w:t>201</w:t>
      </w:r>
      <w:r w:rsidR="003458D6">
        <w:rPr>
          <w:lang w:val="en-IE"/>
        </w:rPr>
        <w:t>4</w:t>
      </w:r>
      <w:r w:rsidR="007E56A8" w:rsidRPr="007E51E0">
        <w:rPr>
          <w:lang w:val="en-IE"/>
        </w:rPr>
        <w:t>)</w:t>
      </w:r>
      <w:r w:rsidR="00510CF5" w:rsidRPr="007E51E0">
        <w:rPr>
          <w:lang w:val="en-IE"/>
        </w:rPr>
        <w:t>.</w:t>
      </w:r>
      <w:r w:rsidR="007E56A8" w:rsidRPr="007E51E0">
        <w:rPr>
          <w:lang w:val="en-IE"/>
        </w:rPr>
        <w:t xml:space="preserve"> </w:t>
      </w:r>
      <w:r w:rsidR="00A01B27" w:rsidRPr="007E51E0">
        <w:rPr>
          <w:lang w:val="en-IE"/>
        </w:rPr>
        <w:t>O</w:t>
      </w:r>
      <w:r w:rsidR="007E56A8" w:rsidRPr="007E51E0">
        <w:rPr>
          <w:lang w:val="en-IE"/>
        </w:rPr>
        <w:t xml:space="preserve">ne conventional PCR and one real-time PCR assay were evaluated using samples from a </w:t>
      </w:r>
      <w:r w:rsidR="00A01B27" w:rsidRPr="007E51E0">
        <w:rPr>
          <w:lang w:val="en-IE"/>
        </w:rPr>
        <w:t xml:space="preserve">natural </w:t>
      </w:r>
      <w:r w:rsidR="007E56A8" w:rsidRPr="007E51E0">
        <w:rPr>
          <w:lang w:val="en-IE"/>
        </w:rPr>
        <w:t xml:space="preserve">outbreak of glanders in horses (Scholz </w:t>
      </w:r>
      <w:r w:rsidR="007E56A8" w:rsidRPr="007E51E0">
        <w:rPr>
          <w:i/>
          <w:lang w:val="en-IE"/>
        </w:rPr>
        <w:t>et al.</w:t>
      </w:r>
      <w:r w:rsidR="007E56A8" w:rsidRPr="007E51E0">
        <w:rPr>
          <w:lang w:val="en-IE"/>
        </w:rPr>
        <w:t xml:space="preserve">, 2006; Tomaso </w:t>
      </w:r>
      <w:r w:rsidR="007E56A8" w:rsidRPr="007E51E0">
        <w:rPr>
          <w:i/>
          <w:lang w:val="en-IE"/>
        </w:rPr>
        <w:t>et al.</w:t>
      </w:r>
      <w:r w:rsidR="007E56A8" w:rsidRPr="007E51E0">
        <w:rPr>
          <w:lang w:val="en-IE"/>
        </w:rPr>
        <w:t xml:space="preserve">, 2006). These two assays </w:t>
      </w:r>
      <w:r w:rsidR="00A01B27" w:rsidRPr="007E51E0">
        <w:rPr>
          <w:lang w:val="en-IE"/>
        </w:rPr>
        <w:t xml:space="preserve">are </w:t>
      </w:r>
      <w:r w:rsidR="007E56A8" w:rsidRPr="007E51E0">
        <w:rPr>
          <w:lang w:val="en-IE"/>
        </w:rPr>
        <w:t>therefore described in more detail, but inter-laboratory studies are needed to confirm the robustness of these assays. The guidelines and precautions outlined in Chapter 1.1.</w:t>
      </w:r>
      <w:r w:rsidR="00B77F70" w:rsidRPr="007E51E0">
        <w:rPr>
          <w:lang w:val="en-IE"/>
        </w:rPr>
        <w:t>6</w:t>
      </w:r>
      <w:r w:rsidR="007E56A8" w:rsidRPr="007E51E0">
        <w:rPr>
          <w:lang w:val="en-IE"/>
        </w:rPr>
        <w:t xml:space="preserve"> </w:t>
      </w:r>
      <w:r w:rsidR="007E56A8" w:rsidRPr="007E51E0">
        <w:rPr>
          <w:i/>
          <w:lang w:val="en-IE"/>
        </w:rPr>
        <w:t>Principles and methods of validation of diagnostic assays for infectious diseases</w:t>
      </w:r>
      <w:r w:rsidR="007E56A8" w:rsidRPr="007E51E0">
        <w:rPr>
          <w:lang w:val="en-IE"/>
        </w:rPr>
        <w:t xml:space="preserve"> should be observed.</w:t>
      </w:r>
    </w:p>
    <w:p w14:paraId="60D0CFCC" w14:textId="265A84D9" w:rsidR="007E56A8" w:rsidRPr="007E51E0" w:rsidRDefault="002C7223" w:rsidP="00622046">
      <w:pPr>
        <w:pStyle w:val="111"/>
        <w:rPr>
          <w:lang w:val="en-IE"/>
        </w:rPr>
      </w:pPr>
      <w:r w:rsidRPr="007E51E0">
        <w:rPr>
          <w:bCs/>
          <w:lang w:val="en-IE"/>
        </w:rPr>
        <w:t>2</w:t>
      </w:r>
      <w:r w:rsidR="00622046" w:rsidRPr="007E51E0">
        <w:rPr>
          <w:bCs/>
          <w:lang w:val="en-IE"/>
        </w:rPr>
        <w:t>.3.1.</w:t>
      </w:r>
      <w:r w:rsidR="007E56A8" w:rsidRPr="007E51E0">
        <w:rPr>
          <w:bCs/>
          <w:lang w:val="en-IE"/>
        </w:rPr>
        <w:tab/>
      </w:r>
      <w:r w:rsidR="007E56A8" w:rsidRPr="007E51E0">
        <w:rPr>
          <w:lang w:val="en-IE"/>
        </w:rPr>
        <w:t>DNA preparation</w:t>
      </w:r>
    </w:p>
    <w:p w14:paraId="45C0BD25" w14:textId="20356289" w:rsidR="007E56A8" w:rsidRPr="007E51E0" w:rsidRDefault="007E56A8" w:rsidP="00622046">
      <w:pPr>
        <w:pStyle w:val="111Para"/>
        <w:rPr>
          <w:lang w:val="en-IE"/>
        </w:rPr>
      </w:pPr>
      <w:r w:rsidRPr="007E51E0">
        <w:rPr>
          <w:lang w:val="en-IE"/>
        </w:rPr>
        <w:t>Single colonies are transferred from an agar plate to 200 µl</w:t>
      </w:r>
      <w:r w:rsidR="003443E9" w:rsidRPr="007E51E0">
        <w:rPr>
          <w:lang w:val="en-IE"/>
        </w:rPr>
        <w:t xml:space="preserve"> deionised water</w:t>
      </w:r>
      <w:r w:rsidR="00287D44" w:rsidRPr="007E51E0">
        <w:rPr>
          <w:lang w:val="en-IE"/>
        </w:rPr>
        <w:t>.</w:t>
      </w:r>
      <w:r w:rsidR="003443E9" w:rsidRPr="007E51E0">
        <w:rPr>
          <w:lang w:val="en-IE"/>
        </w:rPr>
        <w:t xml:space="preserve"> </w:t>
      </w:r>
      <w:r w:rsidR="00287D44" w:rsidRPr="007E51E0">
        <w:rPr>
          <w:lang w:val="en-IE"/>
        </w:rPr>
        <w:t xml:space="preserve">After heat inactivation (for example 99°C </w:t>
      </w:r>
      <w:r w:rsidR="002B2E91" w:rsidRPr="007E51E0">
        <w:rPr>
          <w:lang w:val="en-IE"/>
        </w:rPr>
        <w:t xml:space="preserve">for </w:t>
      </w:r>
      <w:r w:rsidR="00287D44" w:rsidRPr="007E51E0">
        <w:rPr>
          <w:lang w:val="en-IE"/>
        </w:rPr>
        <w:t>30 min</w:t>
      </w:r>
      <w:r w:rsidR="002B2E91" w:rsidRPr="007E51E0">
        <w:rPr>
          <w:lang w:val="en-IE"/>
        </w:rPr>
        <w:t>utes</w:t>
      </w:r>
      <w:r w:rsidR="00287D44" w:rsidRPr="007E51E0">
        <w:rPr>
          <w:lang w:val="en-IE"/>
        </w:rPr>
        <w:t>)</w:t>
      </w:r>
      <w:r w:rsidR="00F50A02" w:rsidRPr="007E51E0">
        <w:rPr>
          <w:lang w:val="en-IE"/>
        </w:rPr>
        <w:t>,</w:t>
      </w:r>
      <w:r w:rsidR="00287D44" w:rsidRPr="007E51E0">
        <w:rPr>
          <w:lang w:val="en-IE"/>
        </w:rPr>
        <w:t xml:space="preserve"> t</w:t>
      </w:r>
      <w:r w:rsidR="003443E9" w:rsidRPr="007E51E0">
        <w:rPr>
          <w:lang w:val="en-IE"/>
        </w:rPr>
        <w:t>he DNA isolation can be performed using commercial DNA preparation kit</w:t>
      </w:r>
      <w:r w:rsidR="00287D44" w:rsidRPr="007E51E0">
        <w:rPr>
          <w:lang w:val="en-IE"/>
        </w:rPr>
        <w:t>s</w:t>
      </w:r>
      <w:r w:rsidR="003443E9" w:rsidRPr="007E51E0">
        <w:rPr>
          <w:lang w:val="en-IE"/>
        </w:rPr>
        <w:t xml:space="preserve"> for gram</w:t>
      </w:r>
      <w:r w:rsidR="00242416" w:rsidRPr="007E51E0">
        <w:rPr>
          <w:lang w:val="en-IE"/>
        </w:rPr>
        <w:t>-</w:t>
      </w:r>
      <w:r w:rsidR="003443E9" w:rsidRPr="007E51E0">
        <w:rPr>
          <w:lang w:val="en-IE"/>
        </w:rPr>
        <w:t xml:space="preserve">negative bacteria (see Scholz </w:t>
      </w:r>
      <w:r w:rsidR="003443E9" w:rsidRPr="007E51E0">
        <w:rPr>
          <w:i/>
          <w:lang w:val="en-IE"/>
        </w:rPr>
        <w:t>et al.,</w:t>
      </w:r>
      <w:r w:rsidR="003443E9" w:rsidRPr="007E51E0">
        <w:rPr>
          <w:lang w:val="en-IE"/>
        </w:rPr>
        <w:t xml:space="preserve"> 2006 and Tomas</w:t>
      </w:r>
      <w:r w:rsidR="003458D6">
        <w:rPr>
          <w:lang w:val="en-IE"/>
        </w:rPr>
        <w:t>o</w:t>
      </w:r>
      <w:r w:rsidR="003443E9" w:rsidRPr="007E51E0">
        <w:rPr>
          <w:lang w:val="en-IE"/>
        </w:rPr>
        <w:t xml:space="preserve"> </w:t>
      </w:r>
      <w:r w:rsidR="003443E9" w:rsidRPr="007E51E0">
        <w:rPr>
          <w:i/>
          <w:lang w:val="en-IE"/>
        </w:rPr>
        <w:t>et al.,</w:t>
      </w:r>
      <w:r w:rsidR="008E2EEF" w:rsidRPr="007E51E0">
        <w:rPr>
          <w:i/>
          <w:lang w:val="en-IE"/>
        </w:rPr>
        <w:t xml:space="preserve"> </w:t>
      </w:r>
      <w:r w:rsidR="003443E9" w:rsidRPr="007E51E0">
        <w:rPr>
          <w:lang w:val="en-IE"/>
        </w:rPr>
        <w:t>2006)</w:t>
      </w:r>
      <w:r w:rsidR="002B2E91" w:rsidRPr="007E51E0">
        <w:rPr>
          <w:lang w:val="en-IE"/>
        </w:rPr>
        <w:t>.</w:t>
      </w:r>
      <w:r w:rsidR="00201689" w:rsidRPr="007E51E0">
        <w:rPr>
          <w:lang w:val="en-IE"/>
        </w:rPr>
        <w:t xml:space="preserve"> </w:t>
      </w:r>
      <w:r w:rsidR="002B2E91" w:rsidRPr="007E51E0">
        <w:rPr>
          <w:lang w:val="en-IE"/>
        </w:rPr>
        <w:t>Alternatively, heat-inactivated bacteria from pure cultures (</w:t>
      </w:r>
      <w:proofErr w:type="spellStart"/>
      <w:r w:rsidR="00242416" w:rsidRPr="007E51E0">
        <w:rPr>
          <w:lang w:val="en-IE"/>
        </w:rPr>
        <w:t>eg</w:t>
      </w:r>
      <w:proofErr w:type="spellEnd"/>
      <w:r w:rsidR="00242416" w:rsidRPr="007E51E0">
        <w:rPr>
          <w:lang w:val="en-IE"/>
        </w:rPr>
        <w:t xml:space="preserve"> </w:t>
      </w:r>
      <w:r w:rsidR="002B2E91" w:rsidRPr="007E51E0">
        <w:rPr>
          <w:lang w:val="en-IE"/>
        </w:rPr>
        <w:t>99°C, 10</w:t>
      </w:r>
      <w:r w:rsidR="008E2EEF" w:rsidRPr="007E51E0">
        <w:rPr>
          <w:lang w:val="en-IE"/>
        </w:rPr>
        <w:t> </w:t>
      </w:r>
      <w:r w:rsidR="002B2E91" w:rsidRPr="007E51E0">
        <w:rPr>
          <w:lang w:val="en-IE"/>
        </w:rPr>
        <w:t>minutes) can be used directly for PCR.</w:t>
      </w:r>
    </w:p>
    <w:p w14:paraId="0E250DD6" w14:textId="3E0EF019" w:rsidR="007E56A8" w:rsidRPr="007E51E0" w:rsidRDefault="007E56A8" w:rsidP="00622046">
      <w:pPr>
        <w:pStyle w:val="111Para"/>
        <w:rPr>
          <w:lang w:val="en-IE"/>
        </w:rPr>
      </w:pPr>
      <w:r w:rsidRPr="007E51E0">
        <w:rPr>
          <w:lang w:val="en-IE"/>
        </w:rPr>
        <w:t>Tissue samples from horses (skin,</w:t>
      </w:r>
      <w:r w:rsidR="00201689" w:rsidRPr="007E51E0">
        <w:rPr>
          <w:lang w:val="en-IE"/>
        </w:rPr>
        <w:t xml:space="preserve"> </w:t>
      </w:r>
      <w:r w:rsidRPr="007E51E0">
        <w:rPr>
          <w:lang w:val="en-IE"/>
        </w:rPr>
        <w:t>lung, mucous membrane of the nasal conchae</w:t>
      </w:r>
      <w:r w:rsidR="00C87040" w:rsidRPr="007E51E0">
        <w:rPr>
          <w:lang w:val="en-IE"/>
        </w:rPr>
        <w:t xml:space="preserve"> and </w:t>
      </w:r>
      <w:proofErr w:type="spellStart"/>
      <w:r w:rsidR="00C87040" w:rsidRPr="007E51E0">
        <w:rPr>
          <w:lang w:val="en-IE"/>
        </w:rPr>
        <w:t>septae</w:t>
      </w:r>
      <w:proofErr w:type="spellEnd"/>
      <w:r w:rsidR="00C87040" w:rsidRPr="007E51E0">
        <w:rPr>
          <w:lang w:val="en-IE"/>
        </w:rPr>
        <w:t>, liver and spleen</w:t>
      </w:r>
      <w:r w:rsidRPr="007E51E0">
        <w:rPr>
          <w:lang w:val="en-IE"/>
        </w:rPr>
        <w:t xml:space="preserve">) that have been inactivated and preserved in formalin (48 hours, 10% v/v) are cut with a scalpel into pieces of 0.5 × 0.5 cm (approximately 500 mg). The specimens are washed twice in deionised water (10 ml), incubated overnight in sterile saline at 4°C, and minced </w:t>
      </w:r>
      <w:r w:rsidR="00621FEE" w:rsidRPr="007E51E0">
        <w:rPr>
          <w:lang w:val="en-IE"/>
        </w:rPr>
        <w:t xml:space="preserve">by freezing in </w:t>
      </w:r>
      <w:r w:rsidRPr="007E51E0">
        <w:rPr>
          <w:lang w:val="en-IE"/>
        </w:rPr>
        <w:t xml:space="preserve">liquid nitrogen, </w:t>
      </w:r>
      <w:r w:rsidR="00621FEE" w:rsidRPr="007E51E0">
        <w:rPr>
          <w:lang w:val="en-IE"/>
        </w:rPr>
        <w:t xml:space="preserve">followed by grinding with </w:t>
      </w:r>
      <w:r w:rsidRPr="007E51E0">
        <w:rPr>
          <w:lang w:val="en-IE"/>
        </w:rPr>
        <w:t>a mortar and pestle. Total DNA is prepared from 50 mg tissue using a commercial extraction kit according to the manufacturer’s instructions. DNA is eluted with 80 µl dH</w:t>
      </w:r>
      <w:r w:rsidRPr="00832C31">
        <w:rPr>
          <w:vertAlign w:val="subscript"/>
          <w:lang w:val="en-IE"/>
        </w:rPr>
        <w:t>2</w:t>
      </w:r>
      <w:r w:rsidRPr="007E51E0">
        <w:rPr>
          <w:lang w:val="en-IE"/>
        </w:rPr>
        <w:t xml:space="preserve">O </w:t>
      </w:r>
      <w:r w:rsidR="00287209" w:rsidRPr="007E51E0">
        <w:rPr>
          <w:lang w:val="en-IE"/>
        </w:rPr>
        <w:t>or as appropriate for the kit used</w:t>
      </w:r>
      <w:r w:rsidRPr="007E51E0">
        <w:rPr>
          <w:lang w:val="en-IE"/>
        </w:rPr>
        <w:t>.</w:t>
      </w:r>
      <w:r w:rsidR="00E66B2B" w:rsidRPr="007E51E0">
        <w:rPr>
          <w:lang w:val="en-IE"/>
        </w:rPr>
        <w:t xml:space="preserve"> For </w:t>
      </w:r>
      <w:r w:rsidR="00E66B2B" w:rsidRPr="007E51E0">
        <w:rPr>
          <w:i/>
          <w:lang w:val="en-IE"/>
        </w:rPr>
        <w:t>B</w:t>
      </w:r>
      <w:r w:rsidR="00502798" w:rsidRPr="007E51E0">
        <w:rPr>
          <w:i/>
          <w:lang w:val="en-IE"/>
        </w:rPr>
        <w:t>. </w:t>
      </w:r>
      <w:proofErr w:type="spellStart"/>
      <w:r w:rsidR="00E66B2B" w:rsidRPr="007E51E0">
        <w:rPr>
          <w:i/>
          <w:lang w:val="en-IE"/>
        </w:rPr>
        <w:t>pseudomallei</w:t>
      </w:r>
      <w:proofErr w:type="spellEnd"/>
      <w:r w:rsidR="00E66B2B" w:rsidRPr="007E51E0">
        <w:rPr>
          <w:lang w:val="en-IE"/>
        </w:rPr>
        <w:t xml:space="preserve"> kits have been evaluated for the extraction of DNA from tissue samples (</w:t>
      </w:r>
      <w:proofErr w:type="spellStart"/>
      <w:r w:rsidR="00E66B2B" w:rsidRPr="007E51E0">
        <w:rPr>
          <w:lang w:val="en-IE"/>
        </w:rPr>
        <w:t>Obersteller</w:t>
      </w:r>
      <w:proofErr w:type="spellEnd"/>
      <w:r w:rsidR="00E66B2B" w:rsidRPr="007E51E0">
        <w:rPr>
          <w:lang w:val="en-IE"/>
        </w:rPr>
        <w:t xml:space="preserve"> </w:t>
      </w:r>
      <w:r w:rsidR="002D09EA" w:rsidRPr="007E51E0">
        <w:rPr>
          <w:i/>
          <w:lang w:val="en-IE"/>
        </w:rPr>
        <w:t>et al</w:t>
      </w:r>
      <w:r w:rsidR="00E66B2B" w:rsidRPr="007E51E0">
        <w:rPr>
          <w:lang w:val="en-IE"/>
        </w:rPr>
        <w:t>., 2016).</w:t>
      </w:r>
    </w:p>
    <w:p w14:paraId="64BD013D" w14:textId="77777777" w:rsidR="00475AA7" w:rsidRDefault="00475AA7">
      <w:pPr>
        <w:tabs>
          <w:tab w:val="clear" w:pos="-720"/>
        </w:tabs>
        <w:spacing w:line="240" w:lineRule="auto"/>
        <w:jc w:val="left"/>
        <w:rPr>
          <w:rFonts w:ascii="Ottawa" w:eastAsiaTheme="minorHAnsi" w:hAnsi="Ottawa" w:cs="Arial"/>
          <w:b/>
          <w:bCs/>
          <w:sz w:val="19"/>
          <w:lang w:val="en-IE" w:eastAsia="en-US"/>
        </w:rPr>
      </w:pPr>
      <w:r>
        <w:rPr>
          <w:bCs/>
          <w:lang w:val="en-IE"/>
        </w:rPr>
        <w:br w:type="page"/>
      </w:r>
    </w:p>
    <w:p w14:paraId="3E90729B" w14:textId="104C9356" w:rsidR="007E56A8" w:rsidRPr="007E51E0" w:rsidRDefault="002C7223" w:rsidP="00622046">
      <w:pPr>
        <w:pStyle w:val="111"/>
        <w:rPr>
          <w:lang w:val="en-IE"/>
        </w:rPr>
      </w:pPr>
      <w:r w:rsidRPr="007E51E0">
        <w:rPr>
          <w:bCs/>
          <w:lang w:val="en-IE"/>
        </w:rPr>
        <w:lastRenderedPageBreak/>
        <w:t>2</w:t>
      </w:r>
      <w:r w:rsidR="00622046" w:rsidRPr="007E51E0">
        <w:rPr>
          <w:bCs/>
          <w:lang w:val="en-IE"/>
        </w:rPr>
        <w:t>.3.2.</w:t>
      </w:r>
      <w:r w:rsidR="007E56A8" w:rsidRPr="007E51E0">
        <w:rPr>
          <w:bCs/>
          <w:lang w:val="en-IE"/>
        </w:rPr>
        <w:tab/>
      </w:r>
      <w:r w:rsidR="007E56A8" w:rsidRPr="007E51E0">
        <w:rPr>
          <w:lang w:val="en-IE"/>
        </w:rPr>
        <w:t xml:space="preserve">PCR assay (Scholz </w:t>
      </w:r>
      <w:r w:rsidR="007E56A8" w:rsidRPr="007E51E0">
        <w:rPr>
          <w:i/>
          <w:lang w:val="en-IE"/>
        </w:rPr>
        <w:t>et al.,</w:t>
      </w:r>
      <w:r w:rsidR="007E56A8" w:rsidRPr="007E51E0">
        <w:rPr>
          <w:lang w:val="en-IE"/>
        </w:rPr>
        <w:t xml:space="preserve"> 2006)</w:t>
      </w:r>
    </w:p>
    <w:p w14:paraId="46897010" w14:textId="77777777" w:rsidR="007E56A8" w:rsidRPr="007E51E0" w:rsidRDefault="007E56A8" w:rsidP="00622046">
      <w:pPr>
        <w:pStyle w:val="111Para"/>
        <w:rPr>
          <w:lang w:val="en-IE"/>
        </w:rPr>
      </w:pPr>
      <w:r w:rsidRPr="007E51E0">
        <w:rPr>
          <w:lang w:val="en-IE"/>
        </w:rPr>
        <w:t xml:space="preserve">The assay may have to be adapted to the PCR instrument used with minor modifications to the cycle conditions and the concentration of the </w:t>
      </w:r>
      <w:r w:rsidR="00621FEE" w:rsidRPr="007E51E0">
        <w:rPr>
          <w:lang w:val="en-IE"/>
        </w:rPr>
        <w:t xml:space="preserve">reagents </w:t>
      </w:r>
      <w:r w:rsidRPr="007E51E0">
        <w:rPr>
          <w:lang w:val="en-IE"/>
        </w:rPr>
        <w:t xml:space="preserve">used. </w:t>
      </w:r>
    </w:p>
    <w:p w14:paraId="219CE1CB" w14:textId="07BCF727" w:rsidR="007E56A8" w:rsidRPr="007E51E0" w:rsidRDefault="007E56A8" w:rsidP="00622046">
      <w:pPr>
        <w:pStyle w:val="111Para"/>
        <w:rPr>
          <w:lang w:val="en-IE"/>
        </w:rPr>
      </w:pPr>
      <w:r w:rsidRPr="007E51E0">
        <w:rPr>
          <w:lang w:val="en-IE"/>
        </w:rPr>
        <w:t xml:space="preserve">The oligonucleotides used by Scholz </w:t>
      </w:r>
      <w:r w:rsidRPr="007E51E0">
        <w:rPr>
          <w:i/>
          <w:lang w:val="en-IE"/>
        </w:rPr>
        <w:t>et al.,</w:t>
      </w:r>
      <w:r w:rsidRPr="007E51E0">
        <w:rPr>
          <w:lang w:val="en-IE"/>
        </w:rPr>
        <w:t xml:space="preserve"> (2006) are based on the differences between the </w:t>
      </w:r>
      <w:proofErr w:type="spellStart"/>
      <w:r w:rsidRPr="007E51E0">
        <w:rPr>
          <w:i/>
          <w:lang w:val="en-IE"/>
        </w:rPr>
        <w:t>fliP</w:t>
      </w:r>
      <w:proofErr w:type="spellEnd"/>
      <w:r w:rsidRPr="007E51E0">
        <w:rPr>
          <w:lang w:val="en-IE"/>
        </w:rPr>
        <w:t xml:space="preserve"> sequences from </w:t>
      </w:r>
      <w:r w:rsidRPr="007E51E0">
        <w:rPr>
          <w:i/>
          <w:lang w:val="en-IE"/>
        </w:rPr>
        <w:t>B. mallei</w:t>
      </w:r>
      <w:r w:rsidRPr="007E51E0">
        <w:rPr>
          <w:lang w:val="en-IE"/>
        </w:rPr>
        <w:t xml:space="preserve"> ATCC 23344</w:t>
      </w:r>
      <w:r w:rsidRPr="00832C31">
        <w:rPr>
          <w:vertAlign w:val="superscript"/>
          <w:lang w:val="en-IE"/>
        </w:rPr>
        <w:t>T</w:t>
      </w:r>
      <w:r w:rsidRPr="007E51E0">
        <w:rPr>
          <w:lang w:val="en-IE"/>
        </w:rPr>
        <w:t xml:space="preserve"> (accession numbers NC_006350, NC_006351) and </w:t>
      </w:r>
      <w:r w:rsidRPr="007E51E0">
        <w:rPr>
          <w:i/>
          <w:lang w:val="en-IE"/>
        </w:rPr>
        <w:t>B. </w:t>
      </w:r>
      <w:proofErr w:type="spellStart"/>
      <w:r w:rsidRPr="007E51E0">
        <w:rPr>
          <w:i/>
          <w:lang w:val="en-IE"/>
        </w:rPr>
        <w:t>pseudomallei</w:t>
      </w:r>
      <w:proofErr w:type="spellEnd"/>
      <w:r w:rsidRPr="007E51E0">
        <w:rPr>
          <w:i/>
          <w:lang w:val="en-IE"/>
        </w:rPr>
        <w:t xml:space="preserve"> </w:t>
      </w:r>
      <w:r w:rsidRPr="007E51E0">
        <w:rPr>
          <w:lang w:val="en-IE"/>
        </w:rPr>
        <w:t xml:space="preserve">K96243 (accession numbers NC_006348, NC_006349). Primers Bma-IS407-flip-f (5’-TCA-GGT-TTG-TAT-GTC-GCT-CGG-3’) and </w:t>
      </w:r>
      <w:proofErr w:type="spellStart"/>
      <w:r w:rsidRPr="007E51E0">
        <w:rPr>
          <w:lang w:val="en-IE"/>
        </w:rPr>
        <w:t>Bma</w:t>
      </w:r>
      <w:proofErr w:type="spellEnd"/>
      <w:r w:rsidRPr="007E51E0">
        <w:rPr>
          <w:lang w:val="en-IE"/>
        </w:rPr>
        <w:t>- IS407-flip-r (5’-CTA-GGT-GAA-GCT-CTG-CGC-GAG-3’) are used to amplify a 989 bp fragment. The PCR uses 50 µl ready-to-go master mix</w:t>
      </w:r>
      <w:r w:rsidR="000C3B6B" w:rsidRPr="007E51E0">
        <w:rPr>
          <w:lang w:val="en-IE"/>
        </w:rPr>
        <w:t>,</w:t>
      </w:r>
      <w:r w:rsidRPr="007E51E0">
        <w:rPr>
          <w:lang w:val="en-IE"/>
        </w:rPr>
        <w:t xml:space="preserve"> 15 </w:t>
      </w:r>
      <w:proofErr w:type="spellStart"/>
      <w:r w:rsidRPr="007E51E0">
        <w:rPr>
          <w:lang w:val="en-IE"/>
        </w:rPr>
        <w:t>pmol</w:t>
      </w:r>
      <w:proofErr w:type="spellEnd"/>
      <w:r w:rsidRPr="007E51E0">
        <w:rPr>
          <w:lang w:val="en-IE"/>
        </w:rPr>
        <w:t xml:space="preserve"> of each primer</w:t>
      </w:r>
      <w:r w:rsidR="00242416" w:rsidRPr="007E51E0">
        <w:rPr>
          <w:lang w:val="en-IE"/>
        </w:rPr>
        <w:t xml:space="preserve">, and 4 µl </w:t>
      </w:r>
      <w:r w:rsidR="000C3B6B" w:rsidRPr="007E51E0">
        <w:rPr>
          <w:lang w:val="en-IE"/>
        </w:rPr>
        <w:t>of</w:t>
      </w:r>
      <w:r w:rsidR="00242416" w:rsidRPr="007E51E0">
        <w:rPr>
          <w:lang w:val="en-IE"/>
        </w:rPr>
        <w:t xml:space="preserve"> template</w:t>
      </w:r>
      <w:r w:rsidR="000C3B6B" w:rsidRPr="007E51E0">
        <w:rPr>
          <w:lang w:val="en-IE"/>
        </w:rPr>
        <w:t xml:space="preserve"> DNA</w:t>
      </w:r>
      <w:r w:rsidRPr="007E51E0">
        <w:rPr>
          <w:lang w:val="en-IE"/>
        </w:rPr>
        <w:t xml:space="preserve">. Thermal cycling conditions are 94°C for 30 seconds and 35 cycles at 65°C for 30 seconds and 72°C for 60 seconds and succeeded by a final elongation step at 72°C for 7 minutes. Visualisation of the products takes place under UV light after agarose gel (1% w/v in TAE buffer) electrophoresis and staining with </w:t>
      </w:r>
      <w:r w:rsidR="00024A94" w:rsidRPr="007E51E0">
        <w:rPr>
          <w:lang w:val="en-IE"/>
        </w:rPr>
        <w:t>nucleic acid stain</w:t>
      </w:r>
      <w:r w:rsidRPr="007E51E0">
        <w:rPr>
          <w:lang w:val="en-IE"/>
        </w:rPr>
        <w:t xml:space="preserve">. No template controls containing PCR-grade water instead of template and positive controls containing </w:t>
      </w:r>
      <w:r w:rsidRPr="007E51E0">
        <w:rPr>
          <w:i/>
          <w:lang w:val="en-IE"/>
        </w:rPr>
        <w:t>B. mallei</w:t>
      </w:r>
      <w:r w:rsidRPr="007E51E0">
        <w:rPr>
          <w:lang w:val="en-IE"/>
        </w:rPr>
        <w:t xml:space="preserve"> DNA have to be included in each run to detect contamination by amplicons of former runs or amplification failure.</w:t>
      </w:r>
    </w:p>
    <w:p w14:paraId="1A8EE345" w14:textId="77777777" w:rsidR="007E56A8" w:rsidRPr="007E51E0" w:rsidRDefault="007E56A8" w:rsidP="00622046">
      <w:pPr>
        <w:pStyle w:val="111Para"/>
        <w:rPr>
          <w:lang w:val="en-IE"/>
        </w:rPr>
      </w:pPr>
      <w:r w:rsidRPr="007E51E0">
        <w:rPr>
          <w:lang w:val="en-IE"/>
        </w:rPr>
        <w:t>The lower detection limit</w:t>
      </w:r>
      <w:r w:rsidR="00621FEE" w:rsidRPr="007E51E0">
        <w:rPr>
          <w:lang w:val="en-IE"/>
        </w:rPr>
        <w:t xml:space="preserve"> of this assay</w:t>
      </w:r>
      <w:r w:rsidRPr="007E51E0">
        <w:rPr>
          <w:lang w:val="en-IE"/>
        </w:rPr>
        <w:t xml:space="preserve"> is 10 </w:t>
      </w:r>
      <w:proofErr w:type="spellStart"/>
      <w:r w:rsidRPr="007E51E0">
        <w:rPr>
          <w:lang w:val="en-IE"/>
        </w:rPr>
        <w:t>fg</w:t>
      </w:r>
      <w:proofErr w:type="spellEnd"/>
      <w:r w:rsidRPr="007E51E0">
        <w:rPr>
          <w:lang w:val="en-IE"/>
        </w:rPr>
        <w:t xml:space="preserve"> or 2 genome equivalents.</w:t>
      </w:r>
    </w:p>
    <w:p w14:paraId="76B17C38" w14:textId="6568E2A0" w:rsidR="007E56A8" w:rsidRPr="007E51E0" w:rsidRDefault="002C7223" w:rsidP="00622046">
      <w:pPr>
        <w:pStyle w:val="111"/>
        <w:rPr>
          <w:lang w:val="en-IE"/>
        </w:rPr>
      </w:pPr>
      <w:r w:rsidRPr="007E51E0">
        <w:rPr>
          <w:bCs/>
          <w:lang w:val="en-IE"/>
        </w:rPr>
        <w:t>2</w:t>
      </w:r>
      <w:r w:rsidR="00622046" w:rsidRPr="007E51E0">
        <w:rPr>
          <w:bCs/>
          <w:lang w:val="en-IE"/>
        </w:rPr>
        <w:t>.3.3.</w:t>
      </w:r>
      <w:r w:rsidR="007E56A8" w:rsidRPr="007E51E0">
        <w:rPr>
          <w:bCs/>
          <w:lang w:val="en-IE"/>
        </w:rPr>
        <w:tab/>
      </w:r>
      <w:r w:rsidR="007E56A8" w:rsidRPr="007E51E0">
        <w:rPr>
          <w:lang w:val="en-IE"/>
        </w:rPr>
        <w:t xml:space="preserve">Real-time PCR assay (Tomaso </w:t>
      </w:r>
      <w:r w:rsidR="007E56A8" w:rsidRPr="007E51E0">
        <w:rPr>
          <w:i/>
          <w:lang w:val="en-IE"/>
        </w:rPr>
        <w:t>et al.,</w:t>
      </w:r>
      <w:r w:rsidR="007E56A8" w:rsidRPr="007E51E0">
        <w:rPr>
          <w:lang w:val="en-IE"/>
        </w:rPr>
        <w:t xml:space="preserve"> 2006)</w:t>
      </w:r>
    </w:p>
    <w:p w14:paraId="11F76C5A" w14:textId="77777777" w:rsidR="007E56A8" w:rsidRPr="007E51E0" w:rsidRDefault="007E56A8" w:rsidP="00622046">
      <w:pPr>
        <w:pStyle w:val="111Para"/>
        <w:rPr>
          <w:lang w:val="en-IE"/>
        </w:rPr>
      </w:pPr>
      <w:r w:rsidRPr="007E51E0">
        <w:rPr>
          <w:lang w:val="en-IE"/>
        </w:rPr>
        <w:t xml:space="preserve">The assay </w:t>
      </w:r>
      <w:r w:rsidR="00621FEE" w:rsidRPr="007E51E0">
        <w:rPr>
          <w:lang w:val="en-IE"/>
        </w:rPr>
        <w:t>should</w:t>
      </w:r>
      <w:r w:rsidRPr="007E51E0">
        <w:rPr>
          <w:lang w:val="en-IE"/>
        </w:rPr>
        <w:t xml:space="preserve"> be adapted to th</w:t>
      </w:r>
      <w:r w:rsidR="008E2EEF" w:rsidRPr="007E51E0">
        <w:rPr>
          <w:lang w:val="en-IE"/>
        </w:rPr>
        <w:t>e real-time PCR instrument used</w:t>
      </w:r>
      <w:r w:rsidRPr="007E51E0">
        <w:rPr>
          <w:lang w:val="en-IE"/>
        </w:rPr>
        <w:t xml:space="preserve">, e.g. the cycling vials </w:t>
      </w:r>
      <w:r w:rsidR="00621FEE" w:rsidRPr="007E51E0">
        <w:rPr>
          <w:lang w:val="en-IE"/>
        </w:rPr>
        <w:t>should</w:t>
      </w:r>
      <w:r w:rsidRPr="007E51E0">
        <w:rPr>
          <w:lang w:val="en-IE"/>
        </w:rPr>
        <w:t xml:space="preserve"> be chosen according to the manufacturer’s recommendations</w:t>
      </w:r>
      <w:r w:rsidR="008461A6" w:rsidRPr="007E51E0">
        <w:rPr>
          <w:lang w:val="en-IE"/>
        </w:rPr>
        <w:t>,</w:t>
      </w:r>
      <w:r w:rsidRPr="007E51E0">
        <w:rPr>
          <w:lang w:val="en-IE"/>
        </w:rPr>
        <w:t xml:space="preserve"> the concentration of the oligonucleotides may have to be</w:t>
      </w:r>
      <w:r w:rsidR="00201689" w:rsidRPr="007E51E0">
        <w:rPr>
          <w:lang w:val="en-IE"/>
        </w:rPr>
        <w:t xml:space="preserve"> </w:t>
      </w:r>
      <w:r w:rsidRPr="007E51E0">
        <w:rPr>
          <w:lang w:val="en-IE"/>
        </w:rPr>
        <w:t>increased</w:t>
      </w:r>
      <w:r w:rsidR="008461A6" w:rsidRPr="007E51E0">
        <w:rPr>
          <w:lang w:val="en-IE"/>
        </w:rPr>
        <w:t>,</w:t>
      </w:r>
      <w:r w:rsidRPr="007E51E0">
        <w:rPr>
          <w:lang w:val="en-IE"/>
        </w:rPr>
        <w:t xml:space="preserve"> or the labelling of the probes altered. </w:t>
      </w:r>
    </w:p>
    <w:p w14:paraId="5C0483D9" w14:textId="62AA7940" w:rsidR="007E56A8" w:rsidRPr="007E51E0" w:rsidRDefault="007E56A8" w:rsidP="00622046">
      <w:pPr>
        <w:pStyle w:val="111Para"/>
        <w:rPr>
          <w:lang w:val="en-IE"/>
        </w:rPr>
      </w:pPr>
      <w:r w:rsidRPr="007E51E0">
        <w:rPr>
          <w:lang w:val="en-IE"/>
        </w:rPr>
        <w:t xml:space="preserve">The oligonucleotides used </w:t>
      </w:r>
      <w:r w:rsidR="000C3B6B" w:rsidRPr="007E51E0">
        <w:rPr>
          <w:lang w:val="en-IE"/>
        </w:rPr>
        <w:t xml:space="preserve">by </w:t>
      </w:r>
      <w:r w:rsidRPr="007E51E0">
        <w:rPr>
          <w:lang w:val="en-IE"/>
        </w:rPr>
        <w:t xml:space="preserve">Tomaso </w:t>
      </w:r>
      <w:r w:rsidRPr="007E51E0">
        <w:rPr>
          <w:i/>
          <w:lang w:val="en-IE"/>
        </w:rPr>
        <w:t>et al.</w:t>
      </w:r>
      <w:r w:rsidRPr="007E51E0">
        <w:rPr>
          <w:lang w:val="en-IE"/>
        </w:rPr>
        <w:t xml:space="preserve"> (2006) are based on differences in the </w:t>
      </w:r>
      <w:proofErr w:type="spellStart"/>
      <w:r w:rsidRPr="007E51E0">
        <w:rPr>
          <w:i/>
          <w:lang w:val="en-IE"/>
        </w:rPr>
        <w:t>fliP</w:t>
      </w:r>
      <w:proofErr w:type="spellEnd"/>
      <w:r w:rsidRPr="007E51E0">
        <w:rPr>
          <w:lang w:val="en-IE"/>
        </w:rPr>
        <w:t xml:space="preserve"> sequences of </w:t>
      </w:r>
      <w:r w:rsidRPr="007E51E0">
        <w:rPr>
          <w:i/>
          <w:lang w:val="en-IE"/>
        </w:rPr>
        <w:t>B. mallei</w:t>
      </w:r>
      <w:r w:rsidRPr="007E51E0">
        <w:rPr>
          <w:lang w:val="en-IE"/>
        </w:rPr>
        <w:t xml:space="preserve"> ATCC 23344</w:t>
      </w:r>
      <w:r w:rsidRPr="00832C31">
        <w:rPr>
          <w:vertAlign w:val="superscript"/>
          <w:lang w:val="en-IE"/>
        </w:rPr>
        <w:t>T</w:t>
      </w:r>
      <w:r w:rsidRPr="007E51E0">
        <w:rPr>
          <w:lang w:val="en-IE"/>
        </w:rPr>
        <w:t xml:space="preserve"> (accession numbers NC_006350, NC_006351) and </w:t>
      </w:r>
      <w:r w:rsidR="00BF7219" w:rsidRPr="007E51E0">
        <w:rPr>
          <w:i/>
          <w:lang w:val="en-IE"/>
        </w:rPr>
        <w:t>B. </w:t>
      </w:r>
      <w:proofErr w:type="spellStart"/>
      <w:r w:rsidRPr="007E51E0">
        <w:rPr>
          <w:i/>
          <w:lang w:val="en-IE"/>
        </w:rPr>
        <w:t>pseudomallei</w:t>
      </w:r>
      <w:proofErr w:type="spellEnd"/>
      <w:r w:rsidRPr="007E51E0">
        <w:rPr>
          <w:i/>
          <w:lang w:val="en-IE"/>
        </w:rPr>
        <w:t xml:space="preserve"> </w:t>
      </w:r>
      <w:r w:rsidRPr="007E51E0">
        <w:rPr>
          <w:lang w:val="en-IE"/>
        </w:rPr>
        <w:t>K96243 (accession numbers NC_006348, NC_006349). The fluorogenic probe is synthesised with 6-carboxy-fluorescein (FAM) at the 5’-end and black hole quencher</w:t>
      </w:r>
      <w:r w:rsidR="00B24BB6" w:rsidRPr="007E51E0">
        <w:rPr>
          <w:lang w:val="en-IE"/>
        </w:rPr>
        <w:t> </w:t>
      </w:r>
      <w:r w:rsidRPr="007E51E0">
        <w:rPr>
          <w:lang w:val="en-IE"/>
        </w:rPr>
        <w:t xml:space="preserve">1 (BHQ1) at the 3’-end. Oligonucleotides used were </w:t>
      </w:r>
      <w:proofErr w:type="spellStart"/>
      <w:r w:rsidRPr="007E51E0">
        <w:rPr>
          <w:lang w:val="en-IE"/>
        </w:rPr>
        <w:t>Bma</w:t>
      </w:r>
      <w:proofErr w:type="spellEnd"/>
      <w:r w:rsidRPr="007E51E0">
        <w:rPr>
          <w:lang w:val="en-IE"/>
        </w:rPr>
        <w:t xml:space="preserve">-flip-f (5’-CCC-ATT-GGC-CCT-ATC-GAA-G-3’), </w:t>
      </w:r>
      <w:proofErr w:type="spellStart"/>
      <w:r w:rsidRPr="007E51E0">
        <w:rPr>
          <w:lang w:val="en-IE"/>
        </w:rPr>
        <w:t>Bma</w:t>
      </w:r>
      <w:proofErr w:type="spellEnd"/>
      <w:r w:rsidRPr="007E51E0">
        <w:rPr>
          <w:lang w:val="en-IE"/>
        </w:rPr>
        <w:t xml:space="preserve">-flip-r (5’-GCC-CGA-CGA-GCA-CCT-GAT-T-3’) and probe </w:t>
      </w:r>
      <w:proofErr w:type="spellStart"/>
      <w:r w:rsidRPr="007E51E0">
        <w:rPr>
          <w:lang w:val="en-IE"/>
        </w:rPr>
        <w:t>Bma</w:t>
      </w:r>
      <w:proofErr w:type="spellEnd"/>
      <w:r w:rsidRPr="007E51E0">
        <w:rPr>
          <w:lang w:val="en-IE"/>
        </w:rPr>
        <w:t>-flip (5’-6FAM-CAG-GTC-AAC-GAG-CTT-CAC-GCG-GAT-C-BHQ1-3’).</w:t>
      </w:r>
    </w:p>
    <w:p w14:paraId="3442FCCA" w14:textId="1B94654B" w:rsidR="007E56A8" w:rsidRPr="007E51E0" w:rsidRDefault="007E56A8" w:rsidP="00622046">
      <w:pPr>
        <w:pStyle w:val="111Para"/>
        <w:rPr>
          <w:lang w:val="en-IE"/>
        </w:rPr>
      </w:pPr>
      <w:r w:rsidRPr="007E51E0">
        <w:rPr>
          <w:lang w:val="en-IE"/>
        </w:rPr>
        <w:t xml:space="preserve">The 25 µl reaction mixture consists of 12.5 µl 2× master mix, 0.1 µl of each primer (10 </w:t>
      </w:r>
      <w:proofErr w:type="spellStart"/>
      <w:r w:rsidRPr="007E51E0">
        <w:rPr>
          <w:lang w:val="en-IE"/>
        </w:rPr>
        <w:t>pmol</w:t>
      </w:r>
      <w:proofErr w:type="spellEnd"/>
      <w:r w:rsidRPr="007E51E0">
        <w:rPr>
          <w:lang w:val="en-IE"/>
        </w:rPr>
        <w:t xml:space="preserve">/µl), 0.1 µl of the probe (10 </w:t>
      </w:r>
      <w:proofErr w:type="spellStart"/>
      <w:r w:rsidRPr="007E51E0">
        <w:rPr>
          <w:lang w:val="en-IE"/>
        </w:rPr>
        <w:t>pmol</w:t>
      </w:r>
      <w:proofErr w:type="spellEnd"/>
      <w:r w:rsidRPr="007E51E0">
        <w:rPr>
          <w:lang w:val="en-IE"/>
        </w:rPr>
        <w:t xml:space="preserve">/µl) and 4 µl </w:t>
      </w:r>
      <w:r w:rsidR="000C3B6B" w:rsidRPr="007E51E0">
        <w:rPr>
          <w:lang w:val="en-IE"/>
        </w:rPr>
        <w:t>template DNA</w:t>
      </w:r>
      <w:r w:rsidRPr="007E51E0">
        <w:rPr>
          <w:lang w:val="en-IE"/>
        </w:rPr>
        <w:t>. Thermal cycling conditions are 50°C for 2</w:t>
      </w:r>
      <w:r w:rsidR="008E2EEF" w:rsidRPr="007E51E0">
        <w:rPr>
          <w:lang w:val="en-IE"/>
        </w:rPr>
        <w:t> </w:t>
      </w:r>
      <w:r w:rsidRPr="007E51E0">
        <w:rPr>
          <w:lang w:val="en-IE"/>
        </w:rPr>
        <w:t xml:space="preserve">minutes; 95°C for 10 minutes; 45 cycles at 95°C for 25 seconds and 63°C for 1 minute. Possible contaminations with amplification products from former reactions are inactivated by an initial incubation step using uracil </w:t>
      </w:r>
      <w:r w:rsidRPr="007E51E0">
        <w:rPr>
          <w:i/>
          <w:lang w:val="en-IE"/>
        </w:rPr>
        <w:t>N</w:t>
      </w:r>
      <w:r w:rsidRPr="007E51E0">
        <w:rPr>
          <w:lang w:val="en-IE"/>
        </w:rPr>
        <w:t>’-</w:t>
      </w:r>
      <w:proofErr w:type="spellStart"/>
      <w:r w:rsidRPr="007E51E0">
        <w:rPr>
          <w:lang w:val="en-IE"/>
        </w:rPr>
        <w:t>glycosilase</w:t>
      </w:r>
      <w:proofErr w:type="spellEnd"/>
      <w:r w:rsidRPr="007E51E0">
        <w:rPr>
          <w:lang w:val="en-IE"/>
        </w:rPr>
        <w:t>.</w:t>
      </w:r>
    </w:p>
    <w:p w14:paraId="08E8ACE0" w14:textId="62EE9DB9" w:rsidR="007E56A8" w:rsidRPr="007E51E0" w:rsidRDefault="007E56A8" w:rsidP="00622046">
      <w:pPr>
        <w:pStyle w:val="111Para"/>
        <w:rPr>
          <w:lang w:val="en-IE"/>
        </w:rPr>
      </w:pPr>
      <w:r w:rsidRPr="007E51E0">
        <w:rPr>
          <w:lang w:val="en-IE"/>
        </w:rPr>
        <w:t xml:space="preserve">The authors suggest including an internal inhibition control based on a bacteriophage lambda gene target (Lambda-F [5’-ATG-CCA-CGT-AAG-CGA-AAC-A-3] Lambda-R [5’-GCA-TAA-ACG-AAG-CAG-TCG-AGT-3’], Lam-YAK [5’-YAK-ACC-TTA-CCG-AAA-TCG-GTA-CGG-ATA-CCG-C-DB-3’]), which can be titrated to provide reproducible cycle threshold values. However, depending on the sample material a </w:t>
      </w:r>
      <w:r w:rsidR="000C3B6B" w:rsidRPr="007E51E0">
        <w:rPr>
          <w:lang w:val="en-IE"/>
        </w:rPr>
        <w:t xml:space="preserve">PCR targeting a </w:t>
      </w:r>
      <w:r w:rsidRPr="007E51E0">
        <w:rPr>
          <w:lang w:val="en-IE"/>
        </w:rPr>
        <w:t xml:space="preserve">housekeeping gene may be used additionally or as an alternative. No template controls containing 4 µl of PCR-grade water instead and positive controls containing DNA of </w:t>
      </w:r>
      <w:r w:rsidRPr="007E51E0">
        <w:rPr>
          <w:i/>
          <w:lang w:val="en-IE"/>
        </w:rPr>
        <w:t>B. mallei</w:t>
      </w:r>
      <w:r w:rsidRPr="007E51E0">
        <w:rPr>
          <w:lang w:val="en-IE"/>
        </w:rPr>
        <w:t xml:space="preserve"> have to be included in each run to detect amplicon contamination or amplification failure.</w:t>
      </w:r>
    </w:p>
    <w:p w14:paraId="613CB888" w14:textId="77777777" w:rsidR="007E56A8" w:rsidRPr="007E51E0" w:rsidRDefault="007E56A8" w:rsidP="00622046">
      <w:pPr>
        <w:pStyle w:val="111Para"/>
        <w:rPr>
          <w:lang w:val="en-IE"/>
        </w:rPr>
      </w:pPr>
      <w:r w:rsidRPr="007E51E0">
        <w:rPr>
          <w:lang w:val="en-IE"/>
        </w:rPr>
        <w:t xml:space="preserve">The linear range of the assay was determined to cover concentrations from 240 </w:t>
      </w:r>
      <w:proofErr w:type="spellStart"/>
      <w:r w:rsidRPr="007E51E0">
        <w:rPr>
          <w:lang w:val="en-IE"/>
        </w:rPr>
        <w:t>pg</w:t>
      </w:r>
      <w:proofErr w:type="spellEnd"/>
      <w:r w:rsidRPr="007E51E0">
        <w:rPr>
          <w:lang w:val="en-IE"/>
        </w:rPr>
        <w:t xml:space="preserve"> to 70 </w:t>
      </w:r>
      <w:proofErr w:type="spellStart"/>
      <w:r w:rsidRPr="007E51E0">
        <w:rPr>
          <w:lang w:val="en-IE"/>
        </w:rPr>
        <w:t>fg</w:t>
      </w:r>
      <w:proofErr w:type="spellEnd"/>
      <w:r w:rsidRPr="007E51E0">
        <w:rPr>
          <w:lang w:val="en-IE"/>
        </w:rPr>
        <w:t xml:space="preserve"> bacterial DNA/reaction. The lower limit of detection defined as the lowest amount of DNA that was consistently detectable in three runs with eight measurements each is 60 </w:t>
      </w:r>
      <w:proofErr w:type="spellStart"/>
      <w:r w:rsidRPr="007E51E0">
        <w:rPr>
          <w:lang w:val="en-IE"/>
        </w:rPr>
        <w:t>fg</w:t>
      </w:r>
      <w:proofErr w:type="spellEnd"/>
      <w:r w:rsidRPr="007E51E0">
        <w:rPr>
          <w:lang w:val="en-IE"/>
        </w:rPr>
        <w:t xml:space="preserve"> DNA or four genome equivalents (95% probability). The intra-assay variability of the </w:t>
      </w:r>
      <w:proofErr w:type="spellStart"/>
      <w:r w:rsidRPr="007E51E0">
        <w:rPr>
          <w:i/>
          <w:u w:color="FF0000"/>
          <w:lang w:val="en-IE"/>
        </w:rPr>
        <w:t>fliP</w:t>
      </w:r>
      <w:proofErr w:type="spellEnd"/>
      <w:r w:rsidRPr="007E51E0">
        <w:rPr>
          <w:lang w:val="en-IE"/>
        </w:rPr>
        <w:t xml:space="preserve"> PCR assay for 35</w:t>
      </w:r>
      <w:r w:rsidR="008E2EEF" w:rsidRPr="007E51E0">
        <w:rPr>
          <w:lang w:val="en-IE"/>
        </w:rPr>
        <w:t> </w:t>
      </w:r>
      <w:proofErr w:type="spellStart"/>
      <w:r w:rsidRPr="007E51E0">
        <w:rPr>
          <w:lang w:val="en-IE"/>
        </w:rPr>
        <w:t>pg</w:t>
      </w:r>
      <w:proofErr w:type="spellEnd"/>
      <w:r w:rsidRPr="007E51E0">
        <w:rPr>
          <w:lang w:val="en-IE"/>
        </w:rPr>
        <w:t xml:space="preserve"> DNA/reaction is 0.68% (based on Ct values) and for 875 </w:t>
      </w:r>
      <w:proofErr w:type="spellStart"/>
      <w:r w:rsidRPr="007E51E0">
        <w:rPr>
          <w:lang w:val="en-IE"/>
        </w:rPr>
        <w:t>fg</w:t>
      </w:r>
      <w:proofErr w:type="spellEnd"/>
      <w:r w:rsidRPr="007E51E0">
        <w:rPr>
          <w:lang w:val="en-IE"/>
        </w:rPr>
        <w:t xml:space="preserve"> 1.34%, respectively. The inter-assay variability for 35 </w:t>
      </w:r>
      <w:proofErr w:type="spellStart"/>
      <w:r w:rsidRPr="007E51E0">
        <w:rPr>
          <w:lang w:val="en-IE"/>
        </w:rPr>
        <w:t>pg</w:t>
      </w:r>
      <w:proofErr w:type="spellEnd"/>
      <w:r w:rsidRPr="007E51E0">
        <w:rPr>
          <w:lang w:val="en-IE"/>
        </w:rPr>
        <w:t xml:space="preserve"> DNA/reaction is 0.89% (based on Ct values) and for 875 </w:t>
      </w:r>
      <w:proofErr w:type="spellStart"/>
      <w:r w:rsidRPr="007E51E0">
        <w:rPr>
          <w:lang w:val="en-IE"/>
        </w:rPr>
        <w:t>fg</w:t>
      </w:r>
      <w:proofErr w:type="spellEnd"/>
      <w:r w:rsidRPr="007E51E0">
        <w:rPr>
          <w:lang w:val="en-IE"/>
        </w:rPr>
        <w:t xml:space="preserve"> DNA 2.76%, respectively.</w:t>
      </w:r>
    </w:p>
    <w:p w14:paraId="71802B38" w14:textId="1DC8A2B9" w:rsidR="007E56A8" w:rsidRPr="007E51E0" w:rsidRDefault="007E56A8" w:rsidP="00622046">
      <w:pPr>
        <w:pStyle w:val="111Para"/>
        <w:rPr>
          <w:lang w:val="en-IE"/>
        </w:rPr>
      </w:pPr>
      <w:r w:rsidRPr="007E51E0">
        <w:rPr>
          <w:lang w:val="en-IE"/>
        </w:rPr>
        <w:t xml:space="preserve">To date, a positive result </w:t>
      </w:r>
      <w:r w:rsidR="000C3B6B" w:rsidRPr="007E51E0">
        <w:rPr>
          <w:lang w:val="en-IE"/>
        </w:rPr>
        <w:t xml:space="preserve">in real-time PCR </w:t>
      </w:r>
      <w:r w:rsidRPr="007E51E0">
        <w:rPr>
          <w:lang w:val="en-IE"/>
        </w:rPr>
        <w:t>confirms the diagnosis ‘</w:t>
      </w:r>
      <w:proofErr w:type="spellStart"/>
      <w:r w:rsidRPr="007E51E0">
        <w:rPr>
          <w:i/>
          <w:lang w:val="en-IE"/>
        </w:rPr>
        <w:t>Burkholderia</w:t>
      </w:r>
      <w:proofErr w:type="spellEnd"/>
      <w:r w:rsidRPr="007E51E0">
        <w:rPr>
          <w:i/>
          <w:lang w:val="en-IE"/>
        </w:rPr>
        <w:t xml:space="preserve"> mallei’</w:t>
      </w:r>
      <w:r w:rsidRPr="007E51E0">
        <w:rPr>
          <w:lang w:val="en-IE"/>
        </w:rPr>
        <w:t xml:space="preserve"> for an isolate and the diagnosis ‘glanders’ in clinical cases. It has to be kept in mind, however, that future genetic evolution may well result in </w:t>
      </w:r>
      <w:r w:rsidRPr="007E51E0">
        <w:rPr>
          <w:i/>
          <w:lang w:val="en-IE"/>
        </w:rPr>
        <w:t>B. mallei</w:t>
      </w:r>
      <w:r w:rsidRPr="007E51E0">
        <w:rPr>
          <w:lang w:val="en-IE"/>
        </w:rPr>
        <w:t xml:space="preserve"> clones that can no longer be detected by these standard PCRs. The sensitivity of the PCR assays for clinical samples is unknown. A negative result therefore, is no proof of the absence of </w:t>
      </w:r>
      <w:r w:rsidRPr="007E51E0">
        <w:rPr>
          <w:i/>
          <w:lang w:val="en-IE"/>
        </w:rPr>
        <w:t>B. mallei</w:t>
      </w:r>
      <w:r w:rsidRPr="007E51E0">
        <w:rPr>
          <w:lang w:val="en-IE"/>
        </w:rPr>
        <w:t xml:space="preserve"> in the sample and other diagnostic means must be applied for confirmation.</w:t>
      </w:r>
    </w:p>
    <w:p w14:paraId="18BE0B35" w14:textId="77777777" w:rsidR="00475AA7" w:rsidRDefault="00475AA7">
      <w:pPr>
        <w:tabs>
          <w:tab w:val="clear" w:pos="-720"/>
        </w:tabs>
        <w:spacing w:line="240" w:lineRule="auto"/>
        <w:jc w:val="left"/>
        <w:rPr>
          <w:rFonts w:ascii="Ottawa" w:eastAsiaTheme="minorHAnsi" w:hAnsi="Ottawa" w:cs="Arial"/>
          <w:b/>
          <w:szCs w:val="22"/>
          <w:lang w:val="en-IE" w:eastAsia="en-US"/>
        </w:rPr>
      </w:pPr>
      <w:r>
        <w:rPr>
          <w:lang w:val="en-IE"/>
        </w:rPr>
        <w:br w:type="page"/>
      </w:r>
    </w:p>
    <w:p w14:paraId="669C6824" w14:textId="41E56770" w:rsidR="007E56A8" w:rsidRPr="007E51E0" w:rsidRDefault="002C7223" w:rsidP="00622046">
      <w:pPr>
        <w:pStyle w:val="11"/>
        <w:rPr>
          <w:lang w:val="en-IE"/>
        </w:rPr>
      </w:pPr>
      <w:r w:rsidRPr="007E51E0">
        <w:rPr>
          <w:lang w:val="en-IE"/>
        </w:rPr>
        <w:lastRenderedPageBreak/>
        <w:t>2</w:t>
      </w:r>
      <w:r w:rsidR="00622046" w:rsidRPr="007E51E0">
        <w:rPr>
          <w:lang w:val="en-IE"/>
        </w:rPr>
        <w:t>.</w:t>
      </w:r>
      <w:r w:rsidR="009C66F5" w:rsidRPr="007E51E0">
        <w:rPr>
          <w:lang w:val="en-IE"/>
        </w:rPr>
        <w:t>4</w:t>
      </w:r>
      <w:r w:rsidR="00622046" w:rsidRPr="007E51E0">
        <w:rPr>
          <w:lang w:val="en-IE"/>
        </w:rPr>
        <w:t>.</w:t>
      </w:r>
      <w:r w:rsidR="007E56A8" w:rsidRPr="007E51E0">
        <w:rPr>
          <w:lang w:val="en-IE"/>
        </w:rPr>
        <w:tab/>
        <w:t>Other methods</w:t>
      </w:r>
    </w:p>
    <w:p w14:paraId="5C215E70" w14:textId="611AF3B7" w:rsidR="00CD4D43" w:rsidRPr="007E51E0" w:rsidRDefault="007E56A8" w:rsidP="00377987">
      <w:pPr>
        <w:pStyle w:val="11Para"/>
        <w:rPr>
          <w:lang w:val="en-IE"/>
        </w:rPr>
      </w:pPr>
      <w:r w:rsidRPr="007E51E0">
        <w:rPr>
          <w:lang w:val="en-IE"/>
        </w:rPr>
        <w:t xml:space="preserve">Molecular typing techniques </w:t>
      </w:r>
      <w:r w:rsidR="00A01B27" w:rsidRPr="007E51E0">
        <w:rPr>
          <w:lang w:val="en-IE"/>
        </w:rPr>
        <w:t xml:space="preserve">for </w:t>
      </w:r>
      <w:proofErr w:type="spellStart"/>
      <w:r w:rsidR="000848F6" w:rsidRPr="007E51E0">
        <w:rPr>
          <w:i/>
          <w:lang w:val="en-IE"/>
        </w:rPr>
        <w:t>B</w:t>
      </w:r>
      <w:r w:rsidR="00CD4D43" w:rsidRPr="007E51E0">
        <w:rPr>
          <w:i/>
          <w:lang w:val="en-IE"/>
        </w:rPr>
        <w:t>urkholderia</w:t>
      </w:r>
      <w:proofErr w:type="spellEnd"/>
      <w:r w:rsidR="000848F6" w:rsidRPr="007E51E0">
        <w:rPr>
          <w:lang w:val="en-IE"/>
        </w:rPr>
        <w:t xml:space="preserve"> isolates </w:t>
      </w:r>
      <w:r w:rsidRPr="007E51E0">
        <w:rPr>
          <w:lang w:val="en-IE"/>
        </w:rPr>
        <w:t>such as PCR-restriction fragment length polymorphism (</w:t>
      </w:r>
      <w:proofErr w:type="spellStart"/>
      <w:r w:rsidRPr="007E51E0">
        <w:rPr>
          <w:lang w:val="en-IE"/>
        </w:rPr>
        <w:t>Tanpiboonsak</w:t>
      </w:r>
      <w:proofErr w:type="spellEnd"/>
      <w:r w:rsidRPr="007E51E0">
        <w:rPr>
          <w:lang w:val="en-IE"/>
        </w:rPr>
        <w:t xml:space="preserve"> </w:t>
      </w:r>
      <w:r w:rsidRPr="007E51E0">
        <w:rPr>
          <w:i/>
          <w:lang w:val="en-IE"/>
        </w:rPr>
        <w:t>et al.</w:t>
      </w:r>
      <w:r w:rsidRPr="007E51E0">
        <w:rPr>
          <w:lang w:val="en-IE"/>
        </w:rPr>
        <w:t>, 2004), pulsed field gel electrophoresis (</w:t>
      </w:r>
      <w:proofErr w:type="spellStart"/>
      <w:r w:rsidRPr="007E51E0">
        <w:rPr>
          <w:lang w:val="en-IE"/>
        </w:rPr>
        <w:t>Chantratita</w:t>
      </w:r>
      <w:proofErr w:type="spellEnd"/>
      <w:r w:rsidRPr="007E51E0">
        <w:rPr>
          <w:lang w:val="en-IE"/>
        </w:rPr>
        <w:t xml:space="preserve"> </w:t>
      </w:r>
      <w:r w:rsidRPr="007E51E0">
        <w:rPr>
          <w:i/>
          <w:lang w:val="en-IE"/>
        </w:rPr>
        <w:t>et al.</w:t>
      </w:r>
      <w:r w:rsidRPr="007E51E0">
        <w:rPr>
          <w:lang w:val="en-IE"/>
        </w:rPr>
        <w:t>, 2006),</w:t>
      </w:r>
      <w:r w:rsidR="00201689" w:rsidRPr="007E51E0">
        <w:rPr>
          <w:lang w:val="en-IE"/>
        </w:rPr>
        <w:t xml:space="preserve"> </w:t>
      </w:r>
      <w:r w:rsidRPr="007E51E0">
        <w:rPr>
          <w:lang w:val="en-IE"/>
        </w:rPr>
        <w:t>riboty</w:t>
      </w:r>
      <w:r w:rsidR="00CD4D43" w:rsidRPr="007E51E0">
        <w:rPr>
          <w:lang w:val="en-IE"/>
        </w:rPr>
        <w:t xml:space="preserve">ping (Harvey &amp; Minter, 2005), </w:t>
      </w:r>
      <w:proofErr w:type="spellStart"/>
      <w:r w:rsidRPr="007E51E0">
        <w:rPr>
          <w:lang w:val="en-IE"/>
        </w:rPr>
        <w:t>multilocus</w:t>
      </w:r>
      <w:proofErr w:type="spellEnd"/>
      <w:r w:rsidRPr="007E51E0">
        <w:rPr>
          <w:lang w:val="en-IE"/>
        </w:rPr>
        <w:t xml:space="preserve"> sequence typing (MLST) (Godoy </w:t>
      </w:r>
      <w:r w:rsidRPr="007E51E0">
        <w:rPr>
          <w:i/>
          <w:lang w:val="en-IE"/>
        </w:rPr>
        <w:t>et al.</w:t>
      </w:r>
      <w:r w:rsidRPr="007E51E0">
        <w:rPr>
          <w:lang w:val="en-IE"/>
        </w:rPr>
        <w:t>, 2003)</w:t>
      </w:r>
      <w:r w:rsidR="00CD4D43" w:rsidRPr="007E51E0">
        <w:rPr>
          <w:lang w:val="en-IE"/>
        </w:rPr>
        <w:t xml:space="preserve"> or </w:t>
      </w:r>
      <w:r w:rsidR="00A01B27" w:rsidRPr="007E51E0">
        <w:rPr>
          <w:rStyle w:val="tgc"/>
        </w:rPr>
        <w:t>variable number tandem repeat</w:t>
      </w:r>
      <w:r w:rsidR="00510CF5" w:rsidRPr="007E51E0">
        <w:rPr>
          <w:rStyle w:val="tgc"/>
        </w:rPr>
        <w:t xml:space="preserve"> </w:t>
      </w:r>
      <w:r w:rsidR="00CD4D43" w:rsidRPr="007E51E0">
        <w:rPr>
          <w:lang w:val="en-IE"/>
        </w:rPr>
        <w:t xml:space="preserve">analysis (Currie </w:t>
      </w:r>
      <w:r w:rsidR="002D09EA" w:rsidRPr="007E51E0">
        <w:rPr>
          <w:i/>
          <w:lang w:val="en-IE"/>
        </w:rPr>
        <w:t>et al</w:t>
      </w:r>
      <w:r w:rsidR="00CD4D43" w:rsidRPr="007E51E0">
        <w:rPr>
          <w:lang w:val="en-IE"/>
        </w:rPr>
        <w:t>., 2009)</w:t>
      </w:r>
      <w:r w:rsidRPr="007E51E0">
        <w:rPr>
          <w:lang w:val="en-IE"/>
        </w:rPr>
        <w:t xml:space="preserve"> are</w:t>
      </w:r>
      <w:r w:rsidR="00201689" w:rsidRPr="007E51E0">
        <w:rPr>
          <w:lang w:val="en-IE"/>
        </w:rPr>
        <w:t xml:space="preserve"> </w:t>
      </w:r>
      <w:r w:rsidRPr="007E51E0">
        <w:rPr>
          <w:lang w:val="en-IE"/>
        </w:rPr>
        <w:t>only appropriate for use in specialised laboratories</w:t>
      </w:r>
      <w:r w:rsidR="000848F6" w:rsidRPr="007E51E0">
        <w:rPr>
          <w:lang w:val="en-IE"/>
        </w:rPr>
        <w:t>.</w:t>
      </w:r>
      <w:r w:rsidRPr="007E51E0">
        <w:rPr>
          <w:lang w:val="en-IE"/>
        </w:rPr>
        <w:t xml:space="preserve"> </w:t>
      </w:r>
      <w:r w:rsidR="00CD4D43" w:rsidRPr="007E51E0">
        <w:rPr>
          <w:lang w:val="en-IE"/>
        </w:rPr>
        <w:t>Molecular typing and whole genome sequencing may</w:t>
      </w:r>
      <w:r w:rsidR="00A01B27" w:rsidRPr="007E51E0">
        <w:rPr>
          <w:lang w:val="en-IE"/>
        </w:rPr>
        <w:t xml:space="preserve"> </w:t>
      </w:r>
      <w:r w:rsidR="00CD4D43" w:rsidRPr="007E51E0">
        <w:rPr>
          <w:lang w:val="en-IE"/>
        </w:rPr>
        <w:t xml:space="preserve">be </w:t>
      </w:r>
      <w:r w:rsidR="00A01B27" w:rsidRPr="007E51E0">
        <w:rPr>
          <w:lang w:val="en-IE"/>
        </w:rPr>
        <w:t>useful</w:t>
      </w:r>
      <w:r w:rsidR="00CD4D43" w:rsidRPr="007E51E0">
        <w:rPr>
          <w:lang w:val="en-IE"/>
        </w:rPr>
        <w:t xml:space="preserve"> in the future (Gilling </w:t>
      </w:r>
      <w:r w:rsidR="002D09EA" w:rsidRPr="007E51E0">
        <w:rPr>
          <w:i/>
          <w:lang w:val="en-IE"/>
        </w:rPr>
        <w:t>et al</w:t>
      </w:r>
      <w:r w:rsidR="00CD4D43" w:rsidRPr="007E51E0">
        <w:rPr>
          <w:lang w:val="en-IE"/>
        </w:rPr>
        <w:t>., 2014</w:t>
      </w:r>
      <w:r w:rsidR="00502798" w:rsidRPr="007E51E0">
        <w:rPr>
          <w:lang w:val="en-IE"/>
        </w:rPr>
        <w:t>;</w:t>
      </w:r>
      <w:r w:rsidR="00CD4D43" w:rsidRPr="007E51E0">
        <w:rPr>
          <w:lang w:val="en-IE"/>
        </w:rPr>
        <w:t xml:space="preserve"> </w:t>
      </w:r>
      <w:proofErr w:type="spellStart"/>
      <w:r w:rsidR="00CD4D43" w:rsidRPr="007E51E0">
        <w:rPr>
          <w:lang w:val="en-IE"/>
        </w:rPr>
        <w:t>McRobb</w:t>
      </w:r>
      <w:proofErr w:type="spellEnd"/>
      <w:r w:rsidR="00CD4D43" w:rsidRPr="007E51E0">
        <w:rPr>
          <w:lang w:val="en-IE"/>
        </w:rPr>
        <w:t xml:space="preserve"> </w:t>
      </w:r>
      <w:r w:rsidR="002D09EA" w:rsidRPr="007E51E0">
        <w:rPr>
          <w:i/>
          <w:lang w:val="en-IE"/>
        </w:rPr>
        <w:t>et al</w:t>
      </w:r>
      <w:r w:rsidR="00CD4D43" w:rsidRPr="007E51E0">
        <w:rPr>
          <w:lang w:val="en-IE"/>
        </w:rPr>
        <w:t>., 201</w:t>
      </w:r>
      <w:r w:rsidR="00A271B5" w:rsidRPr="007E51E0">
        <w:rPr>
          <w:lang w:val="en-IE"/>
        </w:rPr>
        <w:t>5</w:t>
      </w:r>
      <w:r w:rsidR="00E40771">
        <w:rPr>
          <w:lang w:val="en-IE"/>
        </w:rPr>
        <w:t>;</w:t>
      </w:r>
      <w:r w:rsidR="00E40771" w:rsidRPr="00E40771">
        <w:rPr>
          <w:lang w:val="en-IE"/>
        </w:rPr>
        <w:t xml:space="preserve"> </w:t>
      </w:r>
      <w:r w:rsidR="00E40771" w:rsidRPr="007E51E0">
        <w:rPr>
          <w:lang w:val="en-IE"/>
        </w:rPr>
        <w:t xml:space="preserve">Price </w:t>
      </w:r>
      <w:r w:rsidR="00E40771" w:rsidRPr="007E51E0">
        <w:rPr>
          <w:i/>
          <w:lang w:val="en-IE"/>
        </w:rPr>
        <w:t>et al</w:t>
      </w:r>
      <w:r w:rsidR="00E40771" w:rsidRPr="007E51E0">
        <w:rPr>
          <w:lang w:val="en-IE"/>
        </w:rPr>
        <w:t>., 2015</w:t>
      </w:r>
      <w:r w:rsidR="00CD4D43" w:rsidRPr="007E51E0">
        <w:rPr>
          <w:lang w:val="en-IE"/>
        </w:rPr>
        <w:t>)</w:t>
      </w:r>
      <w:r w:rsidR="00A271B5" w:rsidRPr="007E51E0">
        <w:rPr>
          <w:lang w:val="en-IE"/>
        </w:rPr>
        <w:t>.</w:t>
      </w:r>
    </w:p>
    <w:p w14:paraId="4871CD58" w14:textId="799561E1" w:rsidR="007E56A8" w:rsidRPr="007E51E0" w:rsidRDefault="003331F4" w:rsidP="00C63272">
      <w:pPr>
        <w:pStyle w:val="1"/>
        <w:rPr>
          <w:lang w:val="en-IE"/>
        </w:rPr>
      </w:pPr>
      <w:r w:rsidRPr="007E51E0">
        <w:rPr>
          <w:lang w:val="en-IE"/>
        </w:rPr>
        <w:t>3</w:t>
      </w:r>
      <w:r w:rsidR="007E56A8" w:rsidRPr="007E51E0">
        <w:rPr>
          <w:lang w:val="en-IE"/>
        </w:rPr>
        <w:t>.</w:t>
      </w:r>
      <w:r w:rsidR="007E56A8" w:rsidRPr="007E51E0">
        <w:rPr>
          <w:lang w:val="en-IE"/>
        </w:rPr>
        <w:tab/>
        <w:t xml:space="preserve">Serological tests </w:t>
      </w:r>
    </w:p>
    <w:p w14:paraId="50DF802F" w14:textId="23EB5285" w:rsidR="007E56A8" w:rsidRPr="007E51E0" w:rsidRDefault="003331F4" w:rsidP="008E2EEF">
      <w:pPr>
        <w:pStyle w:val="11"/>
        <w:jc w:val="both"/>
        <w:rPr>
          <w:lang w:val="en-IE"/>
        </w:rPr>
      </w:pPr>
      <w:r w:rsidRPr="007E51E0">
        <w:rPr>
          <w:lang w:val="en-IE"/>
        </w:rPr>
        <w:t>3</w:t>
      </w:r>
      <w:r w:rsidR="00622046" w:rsidRPr="007E51E0">
        <w:rPr>
          <w:lang w:val="en-IE"/>
        </w:rPr>
        <w:t>.1.</w:t>
      </w:r>
      <w:r w:rsidR="007E56A8" w:rsidRPr="007E51E0">
        <w:rPr>
          <w:lang w:val="en-IE"/>
        </w:rPr>
        <w:tab/>
        <w:t>Complement fixation test in horses</w:t>
      </w:r>
      <w:r w:rsidR="00287D44" w:rsidRPr="007E51E0">
        <w:rPr>
          <w:lang w:val="en-IE"/>
        </w:rPr>
        <w:t>, donkeys,</w:t>
      </w:r>
      <w:r w:rsidR="007E56A8" w:rsidRPr="007E51E0">
        <w:rPr>
          <w:lang w:val="en-IE"/>
        </w:rPr>
        <w:t xml:space="preserve"> and mules </w:t>
      </w:r>
    </w:p>
    <w:p w14:paraId="29457566" w14:textId="77777777" w:rsidR="007E56A8" w:rsidRPr="007E51E0" w:rsidRDefault="007E56A8" w:rsidP="00622046">
      <w:pPr>
        <w:pStyle w:val="11Para"/>
        <w:rPr>
          <w:rFonts w:ascii="Ottawa" w:hAnsi="Ottawa" w:cs="Times New Roman"/>
          <w:b/>
          <w:bCs/>
          <w:lang w:val="en-IE"/>
        </w:rPr>
      </w:pPr>
      <w:r w:rsidRPr="007E51E0">
        <w:rPr>
          <w:lang w:val="en-IE"/>
        </w:rPr>
        <w:t>The CFT is an accurate serological test that has been used for many years for diagnosing glanders. It will deliver positive results within 1 week post-infection and</w:t>
      </w:r>
      <w:r w:rsidR="00201689" w:rsidRPr="007E51E0">
        <w:rPr>
          <w:lang w:val="en-IE"/>
        </w:rPr>
        <w:t xml:space="preserve"> </w:t>
      </w:r>
      <w:r w:rsidRPr="007E51E0">
        <w:rPr>
          <w:lang w:val="en-IE"/>
        </w:rPr>
        <w:t xml:space="preserve">will also recognise sera from exacerbated chronic cases. Application of rigorous quality control in the formulation of CFT antigens, complement and haemolytic systems are crucial for the performance of this test </w:t>
      </w:r>
      <w:r w:rsidR="00536671" w:rsidRPr="007E51E0">
        <w:rPr>
          <w:lang w:val="en-IE"/>
        </w:rPr>
        <w:t>as</w:t>
      </w:r>
      <w:r w:rsidR="0018674A" w:rsidRPr="007E51E0">
        <w:rPr>
          <w:lang w:val="en-IE"/>
        </w:rPr>
        <w:t xml:space="preserve"> its specificity and sensitivity are critically dependent on the antigen used </w:t>
      </w:r>
      <w:r w:rsidRPr="007E51E0">
        <w:rPr>
          <w:lang w:val="en-IE"/>
        </w:rPr>
        <w:t xml:space="preserve">(Elschner </w:t>
      </w:r>
      <w:r w:rsidRPr="007E51E0">
        <w:rPr>
          <w:i/>
          <w:lang w:val="en-IE"/>
        </w:rPr>
        <w:t>et al.</w:t>
      </w:r>
      <w:r w:rsidRPr="007E51E0">
        <w:rPr>
          <w:lang w:val="en-IE"/>
        </w:rPr>
        <w:t xml:space="preserve">, 2011; Khan </w:t>
      </w:r>
      <w:r w:rsidRPr="007E51E0">
        <w:rPr>
          <w:i/>
          <w:lang w:val="en-IE"/>
        </w:rPr>
        <w:t>et al.</w:t>
      </w:r>
      <w:r w:rsidRPr="007E51E0">
        <w:rPr>
          <w:lang w:val="en-IE"/>
        </w:rPr>
        <w:t xml:space="preserve">, 2011). </w:t>
      </w:r>
      <w:r w:rsidRPr="007E51E0">
        <w:rPr>
          <w:rStyle w:val="style1"/>
          <w:rFonts w:cs="Arial"/>
          <w:lang w:val="en-IE"/>
        </w:rPr>
        <w:t xml:space="preserve">Recently, however, the specificity of CF testing has been questioned (Neubauer </w:t>
      </w:r>
      <w:r w:rsidRPr="007E51E0">
        <w:rPr>
          <w:rStyle w:val="style1"/>
          <w:rFonts w:cs="Arial"/>
          <w:i/>
          <w:lang w:val="en-IE"/>
        </w:rPr>
        <w:t>et al.</w:t>
      </w:r>
      <w:r w:rsidRPr="007E51E0">
        <w:rPr>
          <w:rStyle w:val="style1"/>
          <w:rFonts w:cs="Arial"/>
          <w:lang w:val="en-IE"/>
        </w:rPr>
        <w:t>, 2005</w:t>
      </w:r>
      <w:r w:rsidRPr="007E51E0">
        <w:rPr>
          <w:lang w:val="en-IE"/>
        </w:rPr>
        <w:t xml:space="preserve">). </w:t>
      </w:r>
      <w:r w:rsidR="00B362A8" w:rsidRPr="007E51E0">
        <w:rPr>
          <w:lang w:val="en-IE"/>
        </w:rPr>
        <w:t>The CFT is valid for horses</w:t>
      </w:r>
      <w:r w:rsidR="00C87040" w:rsidRPr="007E51E0">
        <w:rPr>
          <w:lang w:val="en-IE"/>
        </w:rPr>
        <w:t>,</w:t>
      </w:r>
      <w:r w:rsidR="00B362A8" w:rsidRPr="007E51E0">
        <w:rPr>
          <w:lang w:val="en-IE"/>
        </w:rPr>
        <w:t xml:space="preserve"> mules</w:t>
      </w:r>
      <w:r w:rsidR="00C87040" w:rsidRPr="007E51E0">
        <w:rPr>
          <w:lang w:val="en-IE"/>
        </w:rPr>
        <w:t xml:space="preserve"> and camels</w:t>
      </w:r>
      <w:r w:rsidR="00B362A8" w:rsidRPr="007E51E0">
        <w:rPr>
          <w:lang w:val="en-IE"/>
        </w:rPr>
        <w:t xml:space="preserve">; </w:t>
      </w:r>
      <w:r w:rsidR="00C87040" w:rsidRPr="007E51E0">
        <w:rPr>
          <w:lang w:val="en-IE"/>
        </w:rPr>
        <w:t>if</w:t>
      </w:r>
      <w:r w:rsidR="00B362A8" w:rsidRPr="007E51E0">
        <w:rPr>
          <w:lang w:val="en-IE"/>
        </w:rPr>
        <w:t xml:space="preserve"> used in donkeys</w:t>
      </w:r>
      <w:r w:rsidR="00287209" w:rsidRPr="007E51E0">
        <w:rPr>
          <w:lang w:val="en-IE"/>
        </w:rPr>
        <w:t xml:space="preserve"> particular care is needed to avoid misdiagnosis</w:t>
      </w:r>
      <w:r w:rsidR="00B362A8" w:rsidRPr="007E51E0">
        <w:rPr>
          <w:lang w:val="en-IE"/>
        </w:rPr>
        <w:t>.</w:t>
      </w:r>
    </w:p>
    <w:p w14:paraId="68B59A3A" w14:textId="38A74236" w:rsidR="007E56A8" w:rsidRPr="007E51E0" w:rsidRDefault="003331F4" w:rsidP="00622046">
      <w:pPr>
        <w:pStyle w:val="111"/>
        <w:rPr>
          <w:szCs w:val="18"/>
          <w:lang w:val="en-IE"/>
        </w:rPr>
      </w:pPr>
      <w:r w:rsidRPr="007E51E0">
        <w:rPr>
          <w:szCs w:val="18"/>
          <w:lang w:val="en-IE"/>
        </w:rPr>
        <w:t>3</w:t>
      </w:r>
      <w:r w:rsidR="00622046" w:rsidRPr="007E51E0">
        <w:rPr>
          <w:szCs w:val="18"/>
          <w:lang w:val="en-IE"/>
        </w:rPr>
        <w:t>.1.1.</w:t>
      </w:r>
      <w:r w:rsidR="007E56A8" w:rsidRPr="007E51E0">
        <w:rPr>
          <w:szCs w:val="18"/>
          <w:lang w:val="en-IE"/>
        </w:rPr>
        <w:tab/>
      </w:r>
      <w:r w:rsidR="007E56A8" w:rsidRPr="007E51E0">
        <w:rPr>
          <w:lang w:val="en-IE"/>
        </w:rPr>
        <w:t xml:space="preserve">Antigen preparation </w:t>
      </w:r>
    </w:p>
    <w:p w14:paraId="19EA8A8D" w14:textId="301E6FD0" w:rsidR="00995351" w:rsidRPr="007E51E0" w:rsidRDefault="00995351" w:rsidP="00622046">
      <w:pPr>
        <w:pStyle w:val="i"/>
        <w:rPr>
          <w:lang w:val="en-IE"/>
        </w:rPr>
      </w:pPr>
      <w:proofErr w:type="spellStart"/>
      <w:r w:rsidRPr="007E51E0">
        <w:rPr>
          <w:lang w:val="en-IE"/>
        </w:rPr>
        <w:t>i</w:t>
      </w:r>
      <w:proofErr w:type="spellEnd"/>
      <w:r w:rsidRPr="007E51E0">
        <w:rPr>
          <w:lang w:val="en-IE"/>
        </w:rPr>
        <w:t>)</w:t>
      </w:r>
      <w:r w:rsidRPr="007E51E0">
        <w:rPr>
          <w:lang w:val="en-IE"/>
        </w:rPr>
        <w:tab/>
        <w:t xml:space="preserve">The stock culture strain of </w:t>
      </w:r>
      <w:proofErr w:type="spellStart"/>
      <w:r w:rsidRPr="007E51E0">
        <w:rPr>
          <w:i/>
          <w:lang w:val="en-IE"/>
        </w:rPr>
        <w:t>B.mallei</w:t>
      </w:r>
      <w:proofErr w:type="spellEnd"/>
      <w:r w:rsidRPr="007E51E0">
        <w:rPr>
          <w:lang w:val="en-IE"/>
        </w:rPr>
        <w:t xml:space="preserve"> stored at –80°C is revived by plating onto sheep blood agar and incubated at 37°C for 48 hours to get a confluent growth.</w:t>
      </w:r>
    </w:p>
    <w:p w14:paraId="55D1F0C7" w14:textId="77777777" w:rsidR="00995351" w:rsidRPr="007E51E0" w:rsidRDefault="00995351" w:rsidP="00622046">
      <w:pPr>
        <w:pStyle w:val="i"/>
        <w:rPr>
          <w:lang w:val="en-IE"/>
        </w:rPr>
      </w:pPr>
      <w:r w:rsidRPr="007E51E0">
        <w:rPr>
          <w:lang w:val="en-IE"/>
        </w:rPr>
        <w:t>ii)</w:t>
      </w:r>
      <w:r w:rsidRPr="007E51E0">
        <w:rPr>
          <w:lang w:val="en-IE"/>
        </w:rPr>
        <w:tab/>
        <w:t>From this 48 hours culture, a loopful (0.5 mm diameter) is inoculated to 5 ml of brain–heart infusion (BHI) broth with 3% glycerol and incubated at 37°C for 24 hours.</w:t>
      </w:r>
    </w:p>
    <w:p w14:paraId="720EECEA" w14:textId="77777777" w:rsidR="00995351" w:rsidRPr="007E51E0" w:rsidRDefault="00995351" w:rsidP="00622046">
      <w:pPr>
        <w:pStyle w:val="i"/>
        <w:rPr>
          <w:lang w:val="en-IE"/>
        </w:rPr>
      </w:pPr>
      <w:r w:rsidRPr="007E51E0">
        <w:rPr>
          <w:lang w:val="en-IE"/>
        </w:rPr>
        <w:t>iii)</w:t>
      </w:r>
      <w:r w:rsidRPr="007E51E0">
        <w:rPr>
          <w:lang w:val="en-IE"/>
        </w:rPr>
        <w:tab/>
        <w:t>1 ml from the above culture broth is further inoculated to 100 ml BHI broth with 3% glycerol and incubated at 37°C for 48 hours with gentle agitation.</w:t>
      </w:r>
    </w:p>
    <w:p w14:paraId="41A3B90E" w14:textId="77777777" w:rsidR="007E56A8" w:rsidRPr="007E51E0" w:rsidRDefault="007E56A8" w:rsidP="00054AEA">
      <w:pPr>
        <w:pStyle w:val="i"/>
        <w:rPr>
          <w:lang w:val="en-IE"/>
        </w:rPr>
      </w:pPr>
      <w:r w:rsidRPr="007E51E0">
        <w:rPr>
          <w:lang w:val="en-IE"/>
        </w:rPr>
        <w:t>i</w:t>
      </w:r>
      <w:r w:rsidR="00A94008" w:rsidRPr="007E51E0">
        <w:rPr>
          <w:lang w:val="en-IE"/>
        </w:rPr>
        <w:t>v</w:t>
      </w:r>
      <w:r w:rsidRPr="007E51E0">
        <w:rPr>
          <w:lang w:val="en-IE"/>
        </w:rPr>
        <w:t>)</w:t>
      </w:r>
      <w:r w:rsidRPr="007E51E0">
        <w:rPr>
          <w:lang w:val="en-IE"/>
        </w:rPr>
        <w:tab/>
        <w:t>The cultures are inactivated by exposing the flasks to flowing steam (100°C) for 60</w:t>
      </w:r>
      <w:r w:rsidR="008E2EEF" w:rsidRPr="007E51E0">
        <w:rPr>
          <w:lang w:val="en-IE"/>
        </w:rPr>
        <w:t> </w:t>
      </w:r>
      <w:r w:rsidRPr="007E51E0">
        <w:rPr>
          <w:lang w:val="en-IE"/>
        </w:rPr>
        <w:t>minutes.</w:t>
      </w:r>
    </w:p>
    <w:p w14:paraId="40FF253A" w14:textId="00F03D93" w:rsidR="007E56A8" w:rsidRPr="007E51E0" w:rsidRDefault="006B4988" w:rsidP="00054AEA">
      <w:pPr>
        <w:pStyle w:val="i"/>
        <w:rPr>
          <w:lang w:val="en-IE"/>
        </w:rPr>
      </w:pPr>
      <w:r w:rsidRPr="007E51E0">
        <w:rPr>
          <w:lang w:val="en-IE"/>
        </w:rPr>
        <w:t>v</w:t>
      </w:r>
      <w:r w:rsidR="005A22F5" w:rsidRPr="007E51E0">
        <w:rPr>
          <w:lang w:val="en-IE"/>
        </w:rPr>
        <w:t>)</w:t>
      </w:r>
      <w:r w:rsidR="007E56A8" w:rsidRPr="007E51E0">
        <w:rPr>
          <w:lang w:val="en-IE"/>
        </w:rPr>
        <w:tab/>
        <w:t>The clear supernatant is decanted and filtered. The filtrate is heated again by exposure to live steam for</w:t>
      </w:r>
      <w:r w:rsidR="00995351" w:rsidRPr="007E51E0">
        <w:rPr>
          <w:lang w:val="en-IE"/>
        </w:rPr>
        <w:t xml:space="preserve"> 1 hour</w:t>
      </w:r>
      <w:r w:rsidR="007E56A8" w:rsidRPr="007E51E0">
        <w:rPr>
          <w:lang w:val="en-IE"/>
        </w:rPr>
        <w:t>, and clarified by centrifugation</w:t>
      </w:r>
      <w:r w:rsidR="00995351" w:rsidRPr="007E51E0">
        <w:rPr>
          <w:lang w:val="en-IE"/>
        </w:rPr>
        <w:t xml:space="preserve"> at 3000 rpm for 10</w:t>
      </w:r>
      <w:r w:rsidR="00911610" w:rsidRPr="007E51E0">
        <w:rPr>
          <w:lang w:val="en-IE"/>
        </w:rPr>
        <w:t> </w:t>
      </w:r>
      <w:r w:rsidR="00995351" w:rsidRPr="007E51E0">
        <w:rPr>
          <w:lang w:val="en-IE"/>
        </w:rPr>
        <w:t>minutes.</w:t>
      </w:r>
    </w:p>
    <w:p w14:paraId="1744056E" w14:textId="77777777" w:rsidR="007E56A8" w:rsidRPr="007E51E0" w:rsidRDefault="007E56A8" w:rsidP="00054AEA">
      <w:pPr>
        <w:pStyle w:val="i"/>
        <w:rPr>
          <w:lang w:val="en-IE"/>
        </w:rPr>
      </w:pPr>
      <w:r w:rsidRPr="007E51E0">
        <w:rPr>
          <w:lang w:val="en-IE"/>
        </w:rPr>
        <w:t>v</w:t>
      </w:r>
      <w:r w:rsidR="006B4988" w:rsidRPr="007E51E0">
        <w:rPr>
          <w:lang w:val="en-IE"/>
        </w:rPr>
        <w:t>i</w:t>
      </w:r>
      <w:r w:rsidRPr="007E51E0">
        <w:rPr>
          <w:lang w:val="en-IE"/>
        </w:rPr>
        <w:t>)</w:t>
      </w:r>
      <w:r w:rsidRPr="007E51E0">
        <w:rPr>
          <w:lang w:val="en-IE"/>
        </w:rPr>
        <w:tab/>
        <w:t xml:space="preserve">The clarified product is </w:t>
      </w:r>
      <w:r w:rsidR="00995351" w:rsidRPr="007E51E0">
        <w:rPr>
          <w:lang w:val="en-IE"/>
        </w:rPr>
        <w:t xml:space="preserve">stored as concentrated </w:t>
      </w:r>
      <w:r w:rsidRPr="007E51E0">
        <w:rPr>
          <w:lang w:val="en-IE"/>
        </w:rPr>
        <w:t>antigen in brown glass bottles to shield from light and stored at 4°C. Antigen has been shown to be stable for at least 10 years in this concentrated state.</w:t>
      </w:r>
    </w:p>
    <w:p w14:paraId="2790FAE5" w14:textId="77777777" w:rsidR="007E56A8" w:rsidRPr="007E51E0" w:rsidRDefault="007E56A8" w:rsidP="00054AEA">
      <w:pPr>
        <w:pStyle w:val="iparalast"/>
        <w:rPr>
          <w:lang w:val="en-IE"/>
        </w:rPr>
      </w:pPr>
      <w:r w:rsidRPr="007E51E0">
        <w:rPr>
          <w:lang w:val="en-IE"/>
        </w:rPr>
        <w:t>vi</w:t>
      </w:r>
      <w:r w:rsidR="006B4988" w:rsidRPr="007E51E0">
        <w:rPr>
          <w:lang w:val="en-IE"/>
        </w:rPr>
        <w:t>i</w:t>
      </w:r>
      <w:r w:rsidRPr="007E51E0">
        <w:rPr>
          <w:lang w:val="en-IE"/>
        </w:rPr>
        <w:t>)</w:t>
      </w:r>
      <w:r w:rsidRPr="007E51E0">
        <w:rPr>
          <w:lang w:val="en-IE"/>
        </w:rPr>
        <w:tab/>
        <w:t xml:space="preserve">Aliquots of antigen are prepared by diluting the concentrated antigen 1/20 with sterile physiological saline </w:t>
      </w:r>
      <w:r w:rsidR="006B4988" w:rsidRPr="007E51E0">
        <w:rPr>
          <w:lang w:val="en-IE"/>
        </w:rPr>
        <w:t>containing</w:t>
      </w:r>
      <w:r w:rsidRPr="007E51E0">
        <w:rPr>
          <w:lang w:val="en-IE"/>
        </w:rPr>
        <w:t xml:space="preserve"> 0.5% phenol. The diluted antigen is dispensed into brown-glass vials and stored at 4°C. The final working dilution is determined by a block titration. The final working dilution for the CFT is prepared when performing the test.</w:t>
      </w:r>
    </w:p>
    <w:p w14:paraId="7FF5E3ED" w14:textId="77777777" w:rsidR="007E56A8" w:rsidRPr="007E51E0" w:rsidRDefault="007E56A8" w:rsidP="00622046">
      <w:pPr>
        <w:pStyle w:val="111Para"/>
        <w:rPr>
          <w:lang w:val="en-IE"/>
        </w:rPr>
      </w:pPr>
      <w:r w:rsidRPr="007E51E0">
        <w:rPr>
          <w:lang w:val="en-IE"/>
        </w:rPr>
        <w:t xml:space="preserve">The resulting antigen consists primarily of </w:t>
      </w:r>
      <w:r w:rsidR="00C87040" w:rsidRPr="007E51E0">
        <w:rPr>
          <w:lang w:val="en-IE"/>
        </w:rPr>
        <w:t>lipopolysaccharides (</w:t>
      </w:r>
      <w:r w:rsidRPr="007E51E0">
        <w:rPr>
          <w:lang w:val="en-IE"/>
        </w:rPr>
        <w:t>LPS</w:t>
      </w:r>
      <w:r w:rsidR="00C87040" w:rsidRPr="007E51E0">
        <w:rPr>
          <w:lang w:val="en-IE"/>
        </w:rPr>
        <w:t>)</w:t>
      </w:r>
      <w:r w:rsidRPr="007E51E0">
        <w:rPr>
          <w:lang w:val="en-IE"/>
        </w:rPr>
        <w:t xml:space="preserve">. An alternative procedure is to use young cultures by growing the organism on glycerol–agar slopes for </w:t>
      </w:r>
      <w:r w:rsidR="005E5290" w:rsidRPr="007E51E0">
        <w:rPr>
          <w:lang w:val="en-IE"/>
        </w:rPr>
        <w:t xml:space="preserve">up to 48 </w:t>
      </w:r>
      <w:r w:rsidRPr="007E51E0">
        <w:rPr>
          <w:lang w:val="en-IE"/>
        </w:rPr>
        <w:t>hours</w:t>
      </w:r>
      <w:r w:rsidR="00E743C9" w:rsidRPr="007E51E0">
        <w:rPr>
          <w:lang w:val="en-IE"/>
        </w:rPr>
        <w:t xml:space="preserve"> </w:t>
      </w:r>
      <w:r w:rsidRPr="007E51E0">
        <w:rPr>
          <w:lang w:val="en-IE"/>
        </w:rPr>
        <w:t>and washing them off with normal saline. A suspension of the culture is heated for 1 hour at 70°C and the heat-treated bacterial suspension is used as antigen. The disadvantage of this antigen preparation method is that the antigen contains all the bacterial cell components. The antigen should be safety tested by inoculating blood agar plates.</w:t>
      </w:r>
    </w:p>
    <w:p w14:paraId="0C9A8EDC" w14:textId="1B7E56EB" w:rsidR="007E56A8" w:rsidRPr="007E51E0" w:rsidRDefault="003331F4" w:rsidP="00622046">
      <w:pPr>
        <w:pStyle w:val="111"/>
        <w:rPr>
          <w:bCs/>
          <w:lang w:val="en-IE"/>
        </w:rPr>
      </w:pPr>
      <w:r w:rsidRPr="007E51E0">
        <w:rPr>
          <w:bCs/>
          <w:lang w:val="en-IE"/>
        </w:rPr>
        <w:t>3</w:t>
      </w:r>
      <w:r w:rsidR="00622046" w:rsidRPr="007E51E0">
        <w:rPr>
          <w:bCs/>
          <w:lang w:val="en-IE"/>
        </w:rPr>
        <w:t>.1.2.</w:t>
      </w:r>
      <w:r w:rsidR="007E56A8" w:rsidRPr="007E51E0">
        <w:rPr>
          <w:bCs/>
          <w:lang w:val="en-IE"/>
        </w:rPr>
        <w:tab/>
        <w:t>CFT</w:t>
      </w:r>
      <w:r w:rsidR="00201689" w:rsidRPr="007E51E0">
        <w:rPr>
          <w:bCs/>
          <w:lang w:val="en-IE"/>
        </w:rPr>
        <w:t xml:space="preserve"> </w:t>
      </w:r>
      <w:r w:rsidR="007E56A8" w:rsidRPr="007E51E0">
        <w:rPr>
          <w:bCs/>
          <w:lang w:val="en-IE"/>
        </w:rPr>
        <w:t xml:space="preserve">procedure </w:t>
      </w:r>
    </w:p>
    <w:p w14:paraId="206758B4" w14:textId="77777777" w:rsidR="007E56A8" w:rsidRPr="007E51E0" w:rsidRDefault="007E56A8" w:rsidP="00054AEA">
      <w:pPr>
        <w:pStyle w:val="i"/>
        <w:rPr>
          <w:lang w:val="en-IE"/>
        </w:rPr>
      </w:pPr>
      <w:proofErr w:type="spellStart"/>
      <w:r w:rsidRPr="007E51E0">
        <w:rPr>
          <w:lang w:val="en-IE"/>
        </w:rPr>
        <w:t>i</w:t>
      </w:r>
      <w:proofErr w:type="spellEnd"/>
      <w:r w:rsidRPr="007E51E0">
        <w:rPr>
          <w:lang w:val="en-IE"/>
        </w:rPr>
        <w:t>)</w:t>
      </w:r>
      <w:r w:rsidRPr="007E51E0">
        <w:rPr>
          <w:lang w:val="en-IE"/>
        </w:rPr>
        <w:tab/>
        <w:t>Serum is diluted 1/5 in veronal (barbiturate) buffered saline containing 0.1% gelatine (VBSG) or CFD (complement fixation diluent – available as tablets) without gelatine or other commercially provided CFT buffers.</w:t>
      </w:r>
    </w:p>
    <w:p w14:paraId="37C2AF82" w14:textId="28AE4D30" w:rsidR="007E56A8" w:rsidRPr="007E51E0" w:rsidRDefault="007E56A8" w:rsidP="00054AEA">
      <w:pPr>
        <w:pStyle w:val="i"/>
        <w:rPr>
          <w:lang w:val="en-IE"/>
        </w:rPr>
      </w:pPr>
      <w:r w:rsidRPr="007E51E0">
        <w:rPr>
          <w:lang w:val="en-IE"/>
        </w:rPr>
        <w:t>ii)</w:t>
      </w:r>
      <w:r w:rsidRPr="007E51E0">
        <w:rPr>
          <w:lang w:val="en-IE"/>
        </w:rPr>
        <w:tab/>
        <w:t>Diluted serum is inactivated for 30 minutes at</w:t>
      </w:r>
      <w:r w:rsidR="00201689" w:rsidRPr="007E51E0">
        <w:rPr>
          <w:lang w:val="en-IE"/>
        </w:rPr>
        <w:t xml:space="preserve"> </w:t>
      </w:r>
      <w:r w:rsidRPr="007E51E0">
        <w:rPr>
          <w:lang w:val="en-IE"/>
        </w:rPr>
        <w:t>58</w:t>
      </w:r>
      <w:r w:rsidR="00B638BC" w:rsidRPr="007E51E0">
        <w:rPr>
          <w:lang w:val="en-IE"/>
        </w:rPr>
        <w:t>–</w:t>
      </w:r>
      <w:r w:rsidR="005E5290" w:rsidRPr="007E51E0">
        <w:rPr>
          <w:lang w:val="en-IE"/>
        </w:rPr>
        <w:t>60</w:t>
      </w:r>
      <w:r w:rsidRPr="007E51E0">
        <w:rPr>
          <w:lang w:val="en-IE"/>
        </w:rPr>
        <w:t>°C.</w:t>
      </w:r>
      <w:r w:rsidR="00201689" w:rsidRPr="007E51E0">
        <w:rPr>
          <w:lang w:val="en-IE"/>
        </w:rPr>
        <w:t xml:space="preserve"> </w:t>
      </w:r>
      <w:r w:rsidRPr="007E51E0">
        <w:rPr>
          <w:lang w:val="en-IE"/>
        </w:rPr>
        <w:t xml:space="preserve">Serum of </w:t>
      </w:r>
      <w:proofErr w:type="spellStart"/>
      <w:r w:rsidRPr="007E51E0">
        <w:rPr>
          <w:lang w:val="en-IE"/>
        </w:rPr>
        <w:t>equidae</w:t>
      </w:r>
      <w:proofErr w:type="spellEnd"/>
      <w:r w:rsidRPr="007E51E0">
        <w:rPr>
          <w:lang w:val="en-IE"/>
        </w:rPr>
        <w:t xml:space="preserve"> other than horses should be inactivated at 63°C for 30 minutes.</w:t>
      </w:r>
      <w:r w:rsidR="00C87040" w:rsidRPr="007E51E0">
        <w:rPr>
          <w:lang w:val="en-IE"/>
        </w:rPr>
        <w:t xml:space="preserve"> Ca</w:t>
      </w:r>
      <w:r w:rsidR="00536671" w:rsidRPr="007E51E0">
        <w:rPr>
          <w:lang w:val="en-IE"/>
        </w:rPr>
        <w:t>mel serum is inactivated for 30 </w:t>
      </w:r>
      <w:r w:rsidR="00C87040" w:rsidRPr="007E51E0">
        <w:rPr>
          <w:lang w:val="en-IE"/>
        </w:rPr>
        <w:t>minutes at 56°C.</w:t>
      </w:r>
    </w:p>
    <w:p w14:paraId="42D3D7F5" w14:textId="77777777" w:rsidR="007E56A8" w:rsidRPr="007E51E0" w:rsidRDefault="007E56A8" w:rsidP="00054AEA">
      <w:pPr>
        <w:pStyle w:val="i"/>
        <w:rPr>
          <w:lang w:val="en-IE"/>
        </w:rPr>
      </w:pPr>
      <w:r w:rsidRPr="007E51E0">
        <w:rPr>
          <w:lang w:val="en-IE"/>
        </w:rPr>
        <w:t>iii)</w:t>
      </w:r>
      <w:r w:rsidRPr="007E51E0">
        <w:rPr>
          <w:lang w:val="en-IE"/>
        </w:rPr>
        <w:tab/>
        <w:t>Twofold dilutions of the sera are prepared</w:t>
      </w:r>
      <w:r w:rsidR="004B3D0C" w:rsidRPr="007E51E0">
        <w:rPr>
          <w:lang w:val="en-IE"/>
        </w:rPr>
        <w:t xml:space="preserve"> using veronal buffer</w:t>
      </w:r>
      <w:r w:rsidR="005E5290" w:rsidRPr="007E51E0">
        <w:rPr>
          <w:lang w:val="en-IE"/>
        </w:rPr>
        <w:t xml:space="preserve"> or alternative commercially available CFT buffers</w:t>
      </w:r>
      <w:r w:rsidRPr="007E51E0">
        <w:rPr>
          <w:lang w:val="en-IE"/>
        </w:rPr>
        <w:t xml:space="preserve"> in 96-well round-bottom </w:t>
      </w:r>
      <w:proofErr w:type="spellStart"/>
      <w:r w:rsidRPr="007E51E0">
        <w:rPr>
          <w:lang w:val="en-IE"/>
        </w:rPr>
        <w:t>microtitre</w:t>
      </w:r>
      <w:proofErr w:type="spellEnd"/>
      <w:r w:rsidRPr="007E51E0">
        <w:rPr>
          <w:lang w:val="en-IE"/>
        </w:rPr>
        <w:t xml:space="preserve"> plates.</w:t>
      </w:r>
    </w:p>
    <w:p w14:paraId="5410A1A7" w14:textId="70401B0B" w:rsidR="007E56A8" w:rsidRPr="007E51E0" w:rsidRDefault="007E56A8" w:rsidP="00054AEA">
      <w:pPr>
        <w:pStyle w:val="i"/>
        <w:rPr>
          <w:lang w:val="en-IE"/>
        </w:rPr>
      </w:pPr>
      <w:r w:rsidRPr="007E51E0">
        <w:rPr>
          <w:lang w:val="en-IE"/>
        </w:rPr>
        <w:t>iv)</w:t>
      </w:r>
      <w:r w:rsidRPr="007E51E0">
        <w:rPr>
          <w:lang w:val="en-IE"/>
        </w:rPr>
        <w:tab/>
        <w:t xml:space="preserve">Guinea-pig complement is diluted in the chosen buffer and </w:t>
      </w:r>
      <w:r w:rsidR="000C3B6B" w:rsidRPr="007E51E0">
        <w:rPr>
          <w:lang w:val="en-IE"/>
        </w:rPr>
        <w:t xml:space="preserve">4 or </w:t>
      </w:r>
      <w:r w:rsidRPr="007E51E0">
        <w:rPr>
          <w:lang w:val="en-IE"/>
        </w:rPr>
        <w:t>5 complement haemolytic units-50% (CH</w:t>
      </w:r>
      <w:r w:rsidRPr="00832C31">
        <w:rPr>
          <w:szCs w:val="14"/>
          <w:vertAlign w:val="subscript"/>
          <w:lang w:val="en-IE"/>
        </w:rPr>
        <w:t>50</w:t>
      </w:r>
      <w:r w:rsidRPr="007E51E0">
        <w:rPr>
          <w:lang w:val="en-IE"/>
        </w:rPr>
        <w:t>) are used.</w:t>
      </w:r>
    </w:p>
    <w:p w14:paraId="1D1660BB" w14:textId="77777777" w:rsidR="007E56A8" w:rsidRPr="007E51E0" w:rsidRDefault="007E56A8" w:rsidP="00054AEA">
      <w:pPr>
        <w:pStyle w:val="i"/>
        <w:rPr>
          <w:lang w:val="en-IE"/>
        </w:rPr>
      </w:pPr>
      <w:r w:rsidRPr="007E51E0">
        <w:rPr>
          <w:lang w:val="en-IE"/>
        </w:rPr>
        <w:lastRenderedPageBreak/>
        <w:t>v)</w:t>
      </w:r>
      <w:r w:rsidRPr="007E51E0">
        <w:rPr>
          <w:lang w:val="en-IE"/>
        </w:rPr>
        <w:tab/>
        <w:t>Sera, complement and antigen are mixed in the plates and incubated for 1 hour at 37°C. An alternative procedure is overnight incubation at 4°C.</w:t>
      </w:r>
    </w:p>
    <w:p w14:paraId="7E89B055" w14:textId="45D8B7C6" w:rsidR="007E56A8" w:rsidRPr="007E51E0" w:rsidRDefault="007E56A8" w:rsidP="00054AEA">
      <w:pPr>
        <w:pStyle w:val="i"/>
        <w:rPr>
          <w:lang w:val="en-IE"/>
        </w:rPr>
      </w:pPr>
      <w:r w:rsidRPr="007E51E0">
        <w:rPr>
          <w:lang w:val="en-IE"/>
        </w:rPr>
        <w:t>vi)</w:t>
      </w:r>
      <w:r w:rsidRPr="007E51E0">
        <w:rPr>
          <w:lang w:val="en-IE"/>
        </w:rPr>
        <w:tab/>
        <w:t xml:space="preserve">A </w:t>
      </w:r>
      <w:r w:rsidR="004F66EA" w:rsidRPr="007E51E0">
        <w:rPr>
          <w:lang w:val="en-IE"/>
        </w:rPr>
        <w:t>2-</w:t>
      </w:r>
      <w:r w:rsidR="00287209" w:rsidRPr="007E51E0">
        <w:rPr>
          <w:lang w:val="en-IE"/>
        </w:rPr>
        <w:t>3</w:t>
      </w:r>
      <w:r w:rsidRPr="007E51E0">
        <w:rPr>
          <w:lang w:val="en-IE"/>
        </w:rPr>
        <w:t xml:space="preserve">% suspension of sensitised washed sheep red blood cells is added. </w:t>
      </w:r>
    </w:p>
    <w:p w14:paraId="033EBB3F" w14:textId="77777777" w:rsidR="007E56A8" w:rsidRPr="007E51E0" w:rsidRDefault="007E56A8" w:rsidP="00054AEA">
      <w:pPr>
        <w:pStyle w:val="iparalast"/>
        <w:rPr>
          <w:lang w:val="en-IE"/>
        </w:rPr>
      </w:pPr>
      <w:r w:rsidRPr="007E51E0">
        <w:rPr>
          <w:lang w:val="en-IE"/>
        </w:rPr>
        <w:t>vii)</w:t>
      </w:r>
      <w:r w:rsidRPr="007E51E0">
        <w:rPr>
          <w:lang w:val="en-IE"/>
        </w:rPr>
        <w:tab/>
        <w:t xml:space="preserve">Plates are incubated for 45 minutes at 37°C, and then centrifuged for 5 minutes at 600 </w:t>
      </w:r>
      <w:r w:rsidRPr="007E51E0">
        <w:rPr>
          <w:b/>
          <w:i/>
          <w:lang w:val="en-IE"/>
        </w:rPr>
        <w:t>g</w:t>
      </w:r>
      <w:r w:rsidRPr="007E51E0">
        <w:rPr>
          <w:lang w:val="en-IE"/>
        </w:rPr>
        <w:t>.</w:t>
      </w:r>
    </w:p>
    <w:p w14:paraId="18A217DC" w14:textId="77777777" w:rsidR="007E56A8" w:rsidRPr="007E51E0" w:rsidRDefault="007E56A8" w:rsidP="00622046">
      <w:pPr>
        <w:pStyle w:val="111Para"/>
        <w:rPr>
          <w:lang w:val="en-IE"/>
        </w:rPr>
      </w:pPr>
      <w:r w:rsidRPr="007E51E0">
        <w:rPr>
          <w:lang w:val="en-IE"/>
        </w:rPr>
        <w:t>When using commercially available CFT-antigens and ready-to-use CFT reagents, the manufacturers’ instructions should be applied.</w:t>
      </w:r>
    </w:p>
    <w:p w14:paraId="1D7A20B4" w14:textId="77777777" w:rsidR="008461A6" w:rsidRPr="007E51E0" w:rsidRDefault="008461A6" w:rsidP="008E2EEF">
      <w:pPr>
        <w:pStyle w:val="111Para"/>
        <w:spacing w:after="120"/>
        <w:rPr>
          <w:i/>
          <w:lang w:val="en-IE"/>
        </w:rPr>
      </w:pPr>
      <w:r w:rsidRPr="007E51E0">
        <w:rPr>
          <w:i/>
          <w:lang w:val="en-IE"/>
        </w:rPr>
        <w:t>Recommended controls to verify test conditions:</w:t>
      </w:r>
    </w:p>
    <w:p w14:paraId="71455255" w14:textId="680464F3" w:rsidR="008461A6" w:rsidRPr="007E51E0" w:rsidRDefault="005A22F5" w:rsidP="005A22F5">
      <w:pPr>
        <w:pStyle w:val="i"/>
        <w:rPr>
          <w:lang w:val="en-IE"/>
        </w:rPr>
      </w:pPr>
      <w:proofErr w:type="spellStart"/>
      <w:r w:rsidRPr="007E51E0">
        <w:rPr>
          <w:lang w:val="en-IE"/>
        </w:rPr>
        <w:t>i</w:t>
      </w:r>
      <w:proofErr w:type="spellEnd"/>
      <w:r w:rsidRPr="007E51E0">
        <w:rPr>
          <w:lang w:val="en-IE"/>
        </w:rPr>
        <w:t>)</w:t>
      </w:r>
      <w:r w:rsidRPr="007E51E0">
        <w:rPr>
          <w:lang w:val="en-IE"/>
        </w:rPr>
        <w:tab/>
      </w:r>
      <w:r w:rsidR="008461A6" w:rsidRPr="007E51E0">
        <w:rPr>
          <w:lang w:val="en-IE"/>
        </w:rPr>
        <w:t>Positive control: a control serum that gives a positive reaction;</w:t>
      </w:r>
    </w:p>
    <w:p w14:paraId="0B7488E2" w14:textId="4266B465" w:rsidR="008461A6" w:rsidRPr="007E51E0" w:rsidRDefault="005A22F5" w:rsidP="005A22F5">
      <w:pPr>
        <w:pStyle w:val="i"/>
        <w:rPr>
          <w:lang w:val="en-IE"/>
        </w:rPr>
      </w:pPr>
      <w:r w:rsidRPr="007E51E0">
        <w:rPr>
          <w:lang w:val="en-IE"/>
        </w:rPr>
        <w:t>ii)</w:t>
      </w:r>
      <w:r w:rsidRPr="007E51E0">
        <w:rPr>
          <w:lang w:val="en-IE"/>
        </w:rPr>
        <w:tab/>
      </w:r>
      <w:r w:rsidR="008461A6" w:rsidRPr="007E51E0">
        <w:rPr>
          <w:lang w:val="en-IE"/>
        </w:rPr>
        <w:t>Negative control serum: a control serum that gives a negative reaction;</w:t>
      </w:r>
    </w:p>
    <w:p w14:paraId="10B3FF46" w14:textId="04D2EAF7" w:rsidR="008461A6" w:rsidRPr="007E51E0" w:rsidRDefault="005A22F5" w:rsidP="005A22F5">
      <w:pPr>
        <w:pStyle w:val="i"/>
        <w:rPr>
          <w:lang w:val="en-IE"/>
        </w:rPr>
      </w:pPr>
      <w:r w:rsidRPr="007E51E0">
        <w:rPr>
          <w:lang w:val="en-IE"/>
        </w:rPr>
        <w:t>iii)</w:t>
      </w:r>
      <w:r w:rsidRPr="007E51E0">
        <w:rPr>
          <w:lang w:val="en-IE"/>
        </w:rPr>
        <w:tab/>
      </w:r>
      <w:r w:rsidR="008461A6" w:rsidRPr="007E51E0">
        <w:rPr>
          <w:lang w:val="en-IE"/>
        </w:rPr>
        <w:t xml:space="preserve">Anti-complementary control (serum control): diluent + inactivated test serum + </w:t>
      </w:r>
      <w:r w:rsidR="001323EB" w:rsidRPr="007E51E0">
        <w:rPr>
          <w:lang w:val="en-IE"/>
        </w:rPr>
        <w:t xml:space="preserve">complement + </w:t>
      </w:r>
      <w:r w:rsidR="008461A6" w:rsidRPr="007E51E0">
        <w:rPr>
          <w:lang w:val="en-IE"/>
        </w:rPr>
        <w:t>haemolytic system;</w:t>
      </w:r>
    </w:p>
    <w:p w14:paraId="6454EA9B" w14:textId="3C730D41" w:rsidR="008461A6" w:rsidRPr="007E51E0" w:rsidRDefault="005A22F5" w:rsidP="005A22F5">
      <w:pPr>
        <w:pStyle w:val="i"/>
        <w:rPr>
          <w:lang w:val="en-IE"/>
        </w:rPr>
      </w:pPr>
      <w:r w:rsidRPr="007E51E0">
        <w:rPr>
          <w:lang w:val="en-IE"/>
        </w:rPr>
        <w:t>iv)</w:t>
      </w:r>
      <w:r w:rsidRPr="007E51E0">
        <w:rPr>
          <w:lang w:val="en-IE"/>
        </w:rPr>
        <w:tab/>
      </w:r>
      <w:r w:rsidR="008461A6" w:rsidRPr="007E51E0">
        <w:rPr>
          <w:lang w:val="en-IE"/>
        </w:rPr>
        <w:t>Antigen control: diluent + antigen + complement + haemolytic system;</w:t>
      </w:r>
    </w:p>
    <w:p w14:paraId="28B935C5" w14:textId="637A0B7D" w:rsidR="008461A6" w:rsidRPr="007E51E0" w:rsidRDefault="005A22F5" w:rsidP="005A22F5">
      <w:pPr>
        <w:pStyle w:val="i"/>
        <w:rPr>
          <w:lang w:val="en-IE"/>
        </w:rPr>
      </w:pPr>
      <w:r w:rsidRPr="007E51E0">
        <w:rPr>
          <w:lang w:val="en-IE"/>
        </w:rPr>
        <w:t>v)</w:t>
      </w:r>
      <w:r w:rsidRPr="007E51E0">
        <w:rPr>
          <w:lang w:val="en-IE"/>
        </w:rPr>
        <w:tab/>
      </w:r>
      <w:r w:rsidR="008461A6" w:rsidRPr="007E51E0">
        <w:rPr>
          <w:lang w:val="en-IE"/>
        </w:rPr>
        <w:t>Haemolytic system control: diluent + haemolytic system;</w:t>
      </w:r>
    </w:p>
    <w:p w14:paraId="64508AE6" w14:textId="114566B6" w:rsidR="008461A6" w:rsidRPr="007E51E0" w:rsidRDefault="005A22F5" w:rsidP="005A22F5">
      <w:pPr>
        <w:pStyle w:val="i"/>
        <w:spacing w:after="240"/>
        <w:rPr>
          <w:lang w:val="en-IE"/>
        </w:rPr>
      </w:pPr>
      <w:r w:rsidRPr="007E51E0">
        <w:rPr>
          <w:lang w:val="en-IE"/>
        </w:rPr>
        <w:t>vi)</w:t>
      </w:r>
      <w:r w:rsidRPr="007E51E0">
        <w:rPr>
          <w:lang w:val="en-IE"/>
        </w:rPr>
        <w:tab/>
      </w:r>
      <w:r w:rsidR="008461A6" w:rsidRPr="007E51E0">
        <w:rPr>
          <w:lang w:val="en-IE"/>
        </w:rPr>
        <w:t>Complement control: diluent + complement titration + antigen + haemolytic system.</w:t>
      </w:r>
    </w:p>
    <w:p w14:paraId="00ED8C93" w14:textId="41D3E09C" w:rsidR="007E56A8" w:rsidRPr="007E51E0" w:rsidRDefault="003331F4" w:rsidP="00815041">
      <w:pPr>
        <w:pStyle w:val="111"/>
        <w:rPr>
          <w:bCs/>
          <w:lang w:val="en-IE"/>
        </w:rPr>
      </w:pPr>
      <w:r w:rsidRPr="007E51E0">
        <w:rPr>
          <w:bCs/>
          <w:lang w:val="en-IE"/>
        </w:rPr>
        <w:t>3</w:t>
      </w:r>
      <w:r w:rsidR="00622046" w:rsidRPr="007E51E0">
        <w:rPr>
          <w:bCs/>
          <w:lang w:val="en-IE"/>
        </w:rPr>
        <w:t>.1.3.</w:t>
      </w:r>
      <w:r w:rsidR="007E56A8" w:rsidRPr="007E51E0">
        <w:rPr>
          <w:bCs/>
          <w:lang w:val="en-IE"/>
        </w:rPr>
        <w:tab/>
        <w:t>Reading the results</w:t>
      </w:r>
    </w:p>
    <w:p w14:paraId="34368FE9" w14:textId="6043E065" w:rsidR="007E56A8" w:rsidRPr="007E51E0" w:rsidRDefault="007E56A8" w:rsidP="00815041">
      <w:pPr>
        <w:pStyle w:val="111Para"/>
        <w:rPr>
          <w:lang w:val="en-IE"/>
        </w:rPr>
      </w:pPr>
      <w:r w:rsidRPr="007E51E0">
        <w:rPr>
          <w:lang w:val="en-IE"/>
        </w:rPr>
        <w:t xml:space="preserve">The absence of anti-complementary activity must be checked for each serum; anti-complementary sera must be excluded from analyses. A sample that produces 100% haemolysis at the 1/5 dilution is negative, 25–75% haemolysis is suspicious, and no haemolysis (100% fixation) is positive. </w:t>
      </w:r>
      <w:r w:rsidR="00AD57E2" w:rsidRPr="007E51E0">
        <w:rPr>
          <w:lang w:val="en-IE"/>
        </w:rPr>
        <w:t>False</w:t>
      </w:r>
      <w:r w:rsidRPr="007E51E0">
        <w:rPr>
          <w:lang w:val="en-IE"/>
        </w:rPr>
        <w:t xml:space="preserve">-positive results can occur, </w:t>
      </w:r>
      <w:r w:rsidR="004B3D0C" w:rsidRPr="007E51E0">
        <w:rPr>
          <w:lang w:val="en-IE"/>
        </w:rPr>
        <w:t>and animals can remain positive for months. M</w:t>
      </w:r>
      <w:r w:rsidRPr="007E51E0">
        <w:rPr>
          <w:lang w:val="en-IE"/>
        </w:rPr>
        <w:t xml:space="preserve">oreover, </w:t>
      </w:r>
      <w:r w:rsidRPr="007E51E0">
        <w:rPr>
          <w:i/>
          <w:lang w:val="en-IE"/>
        </w:rPr>
        <w:t xml:space="preserve">B. </w:t>
      </w:r>
      <w:proofErr w:type="spellStart"/>
      <w:r w:rsidRPr="007E51E0">
        <w:rPr>
          <w:i/>
          <w:lang w:val="en-IE"/>
        </w:rPr>
        <w:t>pseudomallei</w:t>
      </w:r>
      <w:proofErr w:type="spellEnd"/>
      <w:r w:rsidRPr="007E51E0">
        <w:rPr>
          <w:lang w:val="en-IE"/>
        </w:rPr>
        <w:t xml:space="preserve"> and </w:t>
      </w:r>
      <w:r w:rsidR="007D1DFE" w:rsidRPr="007E51E0">
        <w:rPr>
          <w:i/>
          <w:lang w:val="en-IE"/>
        </w:rPr>
        <w:t>B. </w:t>
      </w:r>
      <w:r w:rsidRPr="007E51E0">
        <w:rPr>
          <w:i/>
          <w:lang w:val="en-IE"/>
        </w:rPr>
        <w:t>mallei</w:t>
      </w:r>
      <w:r w:rsidRPr="007E51E0">
        <w:rPr>
          <w:lang w:val="en-IE"/>
        </w:rPr>
        <w:t xml:space="preserve"> cross react and cannot be differentiated by serology (Neubauer </w:t>
      </w:r>
      <w:r w:rsidRPr="007E51E0">
        <w:rPr>
          <w:i/>
          <w:lang w:val="en-IE"/>
        </w:rPr>
        <w:t>et al.,</w:t>
      </w:r>
      <w:r w:rsidRPr="007E51E0">
        <w:rPr>
          <w:lang w:val="en-IE"/>
        </w:rPr>
        <w:t xml:space="preserve"> 1997). </w:t>
      </w:r>
      <w:r w:rsidR="00AD57E2" w:rsidRPr="007E51E0">
        <w:rPr>
          <w:lang w:val="en-IE"/>
        </w:rPr>
        <w:t xml:space="preserve">Healthy </w:t>
      </w:r>
      <w:r w:rsidRPr="007E51E0">
        <w:rPr>
          <w:lang w:val="en-IE"/>
        </w:rPr>
        <w:t xml:space="preserve">non-glanderous equids can show a false positive CF reaction for a variable period of time following a </w:t>
      </w:r>
      <w:proofErr w:type="spellStart"/>
      <w:r w:rsidRPr="007E51E0">
        <w:rPr>
          <w:lang w:val="en-IE"/>
        </w:rPr>
        <w:t>mallein</w:t>
      </w:r>
      <w:proofErr w:type="spellEnd"/>
      <w:r w:rsidRPr="007E51E0">
        <w:rPr>
          <w:lang w:val="en-IE"/>
        </w:rPr>
        <w:t xml:space="preserve"> intradermal test.</w:t>
      </w:r>
    </w:p>
    <w:p w14:paraId="2C3BB371" w14:textId="15806FAB" w:rsidR="007E56A8" w:rsidRPr="007E51E0" w:rsidRDefault="003331F4" w:rsidP="00815041">
      <w:pPr>
        <w:pStyle w:val="11"/>
        <w:rPr>
          <w:lang w:val="en-IE"/>
        </w:rPr>
      </w:pPr>
      <w:r w:rsidRPr="007E51E0">
        <w:rPr>
          <w:lang w:val="en-IE"/>
        </w:rPr>
        <w:t>3</w:t>
      </w:r>
      <w:r w:rsidR="00622046" w:rsidRPr="007E51E0">
        <w:rPr>
          <w:lang w:val="en-IE"/>
        </w:rPr>
        <w:t>.2.</w:t>
      </w:r>
      <w:r w:rsidR="007E56A8" w:rsidRPr="007E51E0">
        <w:rPr>
          <w:lang w:val="en-IE"/>
        </w:rPr>
        <w:tab/>
      </w:r>
      <w:bookmarkStart w:id="1" w:name="_Hlk82592347"/>
      <w:r w:rsidR="007E56A8" w:rsidRPr="007E51E0">
        <w:rPr>
          <w:lang w:val="en-IE"/>
        </w:rPr>
        <w:t>Enzyme-linked immunosorbent assays</w:t>
      </w:r>
      <w:bookmarkEnd w:id="1"/>
    </w:p>
    <w:p w14:paraId="3970ED6A" w14:textId="77777777" w:rsidR="00933299" w:rsidRDefault="007E56A8" w:rsidP="00202DA8">
      <w:pPr>
        <w:pStyle w:val="11Para"/>
        <w:rPr>
          <w:lang w:val="en-IE"/>
        </w:rPr>
      </w:pPr>
      <w:r w:rsidRPr="007E51E0">
        <w:rPr>
          <w:lang w:val="en-IE"/>
        </w:rPr>
        <w:t>Both plate and membrane</w:t>
      </w:r>
      <w:r w:rsidR="00201689" w:rsidRPr="007E51E0">
        <w:rPr>
          <w:lang w:val="en-IE"/>
        </w:rPr>
        <w:t xml:space="preserve"> </w:t>
      </w:r>
      <w:r w:rsidRPr="007E51E0">
        <w:rPr>
          <w:lang w:val="en-IE"/>
        </w:rPr>
        <w:t>based ELISAs have been used for the serodiagnosis of glanders, but none of these procedures has been able to differentiate</w:t>
      </w:r>
      <w:r w:rsidR="00201689" w:rsidRPr="007E51E0">
        <w:rPr>
          <w:lang w:val="en-IE"/>
        </w:rPr>
        <w:t xml:space="preserve"> </w:t>
      </w:r>
      <w:r w:rsidRPr="007E51E0">
        <w:rPr>
          <w:lang w:val="en-IE"/>
        </w:rPr>
        <w:t xml:space="preserve">between </w:t>
      </w:r>
      <w:r w:rsidRPr="007E51E0">
        <w:rPr>
          <w:i/>
          <w:iCs/>
          <w:lang w:val="en-IE"/>
        </w:rPr>
        <w:t>B. mallei</w:t>
      </w:r>
      <w:r w:rsidRPr="007E51E0">
        <w:rPr>
          <w:lang w:val="en-IE"/>
        </w:rPr>
        <w:t xml:space="preserve"> and </w:t>
      </w:r>
      <w:r w:rsidRPr="007E51E0">
        <w:rPr>
          <w:i/>
          <w:iCs/>
          <w:lang w:val="en-IE"/>
        </w:rPr>
        <w:t xml:space="preserve">B. </w:t>
      </w:r>
      <w:proofErr w:type="spellStart"/>
      <w:r w:rsidRPr="007E51E0">
        <w:rPr>
          <w:i/>
          <w:iCs/>
          <w:lang w:val="en-IE"/>
        </w:rPr>
        <w:t>pseudomallei</w:t>
      </w:r>
      <w:proofErr w:type="spellEnd"/>
      <w:r w:rsidRPr="007E51E0">
        <w:rPr>
          <w:lang w:val="en-IE"/>
        </w:rPr>
        <w:t xml:space="preserve">. An avidin–biotin dot ELISA has been described, but has not yet been widely used or validated. The antigen used is a concentrated and purified heat-inactivated bacterial culture. A spot of this antigen is placed on a nitrocellulose dipstick. Using antigen-dotted, pre-blocked dipsticks, the test can be completed in approximately 1 hour. An I-ELISA was shown to be of limited value for the serological diagnosis of glanders (Sprague </w:t>
      </w:r>
      <w:r w:rsidRPr="007E51E0">
        <w:rPr>
          <w:i/>
          <w:lang w:val="en-IE"/>
        </w:rPr>
        <w:t>et al.</w:t>
      </w:r>
      <w:r w:rsidRPr="007E51E0">
        <w:rPr>
          <w:lang w:val="en-IE"/>
        </w:rPr>
        <w:t xml:space="preserve">, 2009). An I-ELISA based on recombinant </w:t>
      </w:r>
      <w:proofErr w:type="spellStart"/>
      <w:r w:rsidRPr="007E51E0">
        <w:rPr>
          <w:rStyle w:val="highlight"/>
          <w:rFonts w:cs="Arial"/>
          <w:i/>
          <w:lang w:val="en-IE"/>
        </w:rPr>
        <w:t>Burkholderia</w:t>
      </w:r>
      <w:proofErr w:type="spellEnd"/>
      <w:r w:rsidRPr="007E51E0">
        <w:rPr>
          <w:lang w:val="en-IE"/>
        </w:rPr>
        <w:t xml:space="preserve"> intracellular motility A protein (</w:t>
      </w:r>
      <w:proofErr w:type="spellStart"/>
      <w:r w:rsidRPr="007E51E0">
        <w:rPr>
          <w:lang w:val="en-IE"/>
        </w:rPr>
        <w:t>rBimA</w:t>
      </w:r>
      <w:proofErr w:type="spellEnd"/>
      <w:r w:rsidRPr="007E51E0">
        <w:rPr>
          <w:lang w:val="en-IE"/>
        </w:rPr>
        <w:t xml:space="preserve">) showed a promising sensitivity of 100% and a specificity of 98.88% (Kumar </w:t>
      </w:r>
      <w:r w:rsidRPr="007E51E0">
        <w:rPr>
          <w:i/>
          <w:lang w:val="en-IE"/>
        </w:rPr>
        <w:t>et al.</w:t>
      </w:r>
      <w:r w:rsidRPr="007E51E0">
        <w:rPr>
          <w:lang w:val="en-IE"/>
        </w:rPr>
        <w:t>, 2011).</w:t>
      </w:r>
      <w:r w:rsidR="00CD4D43" w:rsidRPr="007E51E0">
        <w:rPr>
          <w:lang w:val="en-IE"/>
        </w:rPr>
        <w:t xml:space="preserve"> </w:t>
      </w:r>
      <w:r w:rsidR="006D3D1D" w:rsidRPr="007E51E0">
        <w:rPr>
          <w:lang w:val="en-IE"/>
        </w:rPr>
        <w:t>Pa</w:t>
      </w:r>
      <w:r w:rsidR="00CD4D43" w:rsidRPr="007E51E0">
        <w:rPr>
          <w:lang w:val="en-IE"/>
        </w:rPr>
        <w:t>l</w:t>
      </w:r>
      <w:r w:rsidR="006D3D1D" w:rsidRPr="007E51E0">
        <w:rPr>
          <w:lang w:val="en-IE"/>
        </w:rPr>
        <w:t xml:space="preserve"> </w:t>
      </w:r>
      <w:r w:rsidR="002D09EA" w:rsidRPr="007E51E0">
        <w:rPr>
          <w:i/>
          <w:lang w:val="en-IE"/>
        </w:rPr>
        <w:t>et al</w:t>
      </w:r>
      <w:r w:rsidR="00502798" w:rsidRPr="007E51E0">
        <w:rPr>
          <w:lang w:val="en-IE"/>
        </w:rPr>
        <w:t>.</w:t>
      </w:r>
      <w:r w:rsidR="006D3D1D" w:rsidRPr="007E51E0">
        <w:rPr>
          <w:lang w:val="en-IE"/>
        </w:rPr>
        <w:t xml:space="preserve"> </w:t>
      </w:r>
      <w:r w:rsidR="00502798" w:rsidRPr="007E51E0">
        <w:rPr>
          <w:lang w:val="en-IE"/>
        </w:rPr>
        <w:t>(</w:t>
      </w:r>
      <w:r w:rsidR="006D3D1D" w:rsidRPr="007E51E0">
        <w:rPr>
          <w:lang w:val="en-IE"/>
        </w:rPr>
        <w:t>2012</w:t>
      </w:r>
      <w:r w:rsidR="00502798" w:rsidRPr="007E51E0">
        <w:rPr>
          <w:lang w:val="en-IE"/>
        </w:rPr>
        <w:t>)</w:t>
      </w:r>
      <w:r w:rsidR="006D3D1D" w:rsidRPr="007E51E0">
        <w:rPr>
          <w:lang w:val="en-IE"/>
        </w:rPr>
        <w:t xml:space="preserve"> used also recombinant proteins to develop an ELISA. </w:t>
      </w:r>
    </w:p>
    <w:p w14:paraId="79719892" w14:textId="5158688B" w:rsidR="00933299" w:rsidRPr="00933299" w:rsidRDefault="00A94717" w:rsidP="00933299">
      <w:pPr>
        <w:pStyle w:val="11Para"/>
        <w:rPr>
          <w:u w:val="double"/>
        </w:rPr>
      </w:pPr>
      <w:bookmarkStart w:id="2" w:name="_Hlk82591549"/>
      <w:r w:rsidRPr="006264C8">
        <w:rPr>
          <w:u w:val="double"/>
        </w:rPr>
        <w:t>A</w:t>
      </w:r>
      <w:r w:rsidR="00933299" w:rsidRPr="006264C8">
        <w:rPr>
          <w:u w:val="double"/>
        </w:rPr>
        <w:t xml:space="preserve"> commercial recombinant </w:t>
      </w:r>
      <w:r w:rsidRPr="006264C8">
        <w:rPr>
          <w:u w:val="double"/>
        </w:rPr>
        <w:t xml:space="preserve">double </w:t>
      </w:r>
      <w:r w:rsidR="00933299" w:rsidRPr="006264C8">
        <w:rPr>
          <w:u w:val="double"/>
        </w:rPr>
        <w:t xml:space="preserve">antigen-based ELISA for the detection of antibodies specific for </w:t>
      </w:r>
      <w:r w:rsidR="00933299" w:rsidRPr="006264C8">
        <w:rPr>
          <w:i/>
          <w:iCs/>
          <w:u w:val="double"/>
        </w:rPr>
        <w:t>B.</w:t>
      </w:r>
      <w:r w:rsidRPr="006264C8">
        <w:rPr>
          <w:i/>
          <w:iCs/>
          <w:u w:val="double"/>
        </w:rPr>
        <w:t> </w:t>
      </w:r>
      <w:r w:rsidR="00933299" w:rsidRPr="006264C8">
        <w:rPr>
          <w:i/>
          <w:iCs/>
          <w:u w:val="double"/>
        </w:rPr>
        <w:t>mallei</w:t>
      </w:r>
      <w:r w:rsidR="00933299" w:rsidRPr="006264C8">
        <w:rPr>
          <w:u w:val="double"/>
        </w:rPr>
        <w:t xml:space="preserve"> was validated using 400 negative and 370 glanders positive field samples of </w:t>
      </w:r>
      <w:proofErr w:type="spellStart"/>
      <w:r w:rsidR="00933299" w:rsidRPr="006264C8">
        <w:rPr>
          <w:u w:val="double"/>
        </w:rPr>
        <w:t>equidae</w:t>
      </w:r>
      <w:proofErr w:type="spellEnd"/>
      <w:r w:rsidR="00933299" w:rsidRPr="006264C8">
        <w:rPr>
          <w:u w:val="double"/>
        </w:rPr>
        <w:t xml:space="preserve"> (Elschner </w:t>
      </w:r>
      <w:r w:rsidR="00933299" w:rsidRPr="006264C8">
        <w:rPr>
          <w:i/>
          <w:iCs/>
          <w:u w:val="double"/>
        </w:rPr>
        <w:t>et al.,</w:t>
      </w:r>
      <w:r w:rsidR="00933299" w:rsidRPr="006264C8">
        <w:rPr>
          <w:u w:val="double"/>
        </w:rPr>
        <w:t xml:space="preserve"> 2021). The ELISA was significantly more specific (99.8%) than the CFT (97.0%). Considering the comparable sensitivities of CFT (96.5%) and this ELISA (98.1%), the ELISA is a suitable confirmatory test and a realistic alternative for serological testing of horses for trade or movement.</w:t>
      </w:r>
      <w:r w:rsidR="00695098">
        <w:rPr>
          <w:u w:val="double"/>
        </w:rPr>
        <w:t xml:space="preserve"> For more information on the </w:t>
      </w:r>
      <w:r w:rsidR="00695098" w:rsidRPr="006264C8">
        <w:rPr>
          <w:u w:val="double"/>
        </w:rPr>
        <w:t>double antigen-based ELISA</w:t>
      </w:r>
      <w:r w:rsidR="00695098">
        <w:rPr>
          <w:u w:val="double"/>
        </w:rPr>
        <w:t xml:space="preserve"> please contact the OIE Reference Laboratory in Germany</w:t>
      </w:r>
      <w:r w:rsidR="00695098">
        <w:rPr>
          <w:rStyle w:val="Appelnotedebasdep"/>
          <w:u w:val="double"/>
        </w:rPr>
        <w:footnoteReference w:id="3"/>
      </w:r>
      <w:r w:rsidR="00695098">
        <w:rPr>
          <w:u w:val="double"/>
        </w:rPr>
        <w:t>.</w:t>
      </w:r>
      <w:bookmarkEnd w:id="2"/>
    </w:p>
    <w:p w14:paraId="05856B1E" w14:textId="715588E4" w:rsidR="00202DA8" w:rsidRPr="007E51E0" w:rsidRDefault="007E56A8" w:rsidP="00202DA8">
      <w:pPr>
        <w:pStyle w:val="11Para"/>
        <w:rPr>
          <w:lang w:val="en-IE"/>
        </w:rPr>
      </w:pPr>
      <w:r w:rsidRPr="007E51E0">
        <w:rPr>
          <w:lang w:val="en-IE"/>
        </w:rPr>
        <w:t xml:space="preserve">A C-ELISA that makes use of an uncharacterised anti-LPS </w:t>
      </w:r>
      <w:proofErr w:type="spellStart"/>
      <w:r w:rsidRPr="007E51E0">
        <w:rPr>
          <w:lang w:val="en-IE"/>
        </w:rPr>
        <w:t>MAb</w:t>
      </w:r>
      <w:proofErr w:type="spellEnd"/>
      <w:r w:rsidRPr="007E51E0">
        <w:rPr>
          <w:lang w:val="en-IE"/>
        </w:rPr>
        <w:t xml:space="preserve"> has also been developed and found to be similar to the CF</w:t>
      </w:r>
      <w:r w:rsidR="00AD57E2" w:rsidRPr="007E51E0">
        <w:rPr>
          <w:lang w:val="en-IE"/>
        </w:rPr>
        <w:t>T</w:t>
      </w:r>
      <w:r w:rsidRPr="007E51E0">
        <w:rPr>
          <w:lang w:val="en-IE"/>
        </w:rPr>
        <w:t xml:space="preserve"> in performance (Katz </w:t>
      </w:r>
      <w:r w:rsidRPr="007E51E0">
        <w:rPr>
          <w:i/>
          <w:lang w:val="en-IE"/>
        </w:rPr>
        <w:t>et al.</w:t>
      </w:r>
      <w:r w:rsidRPr="007E51E0">
        <w:rPr>
          <w:lang w:val="en-IE"/>
        </w:rPr>
        <w:t xml:space="preserve">, 2000). The C-ELISA was used again on a panel of horse sera originating mainly from Middle Eastern countries (Sprague </w:t>
      </w:r>
      <w:r w:rsidRPr="007E51E0">
        <w:rPr>
          <w:i/>
          <w:lang w:val="en-IE"/>
        </w:rPr>
        <w:t>et al.</w:t>
      </w:r>
      <w:r w:rsidRPr="007E51E0">
        <w:rPr>
          <w:lang w:val="en-IE"/>
        </w:rPr>
        <w:t xml:space="preserve">, 2009). A commercially available </w:t>
      </w:r>
      <w:r w:rsidR="004B3D0C" w:rsidRPr="007E51E0">
        <w:rPr>
          <w:lang w:val="en-IE"/>
        </w:rPr>
        <w:t xml:space="preserve">C-ELISA has recently been developed using </w:t>
      </w:r>
      <w:r w:rsidRPr="007E51E0">
        <w:rPr>
          <w:lang w:val="en-IE"/>
        </w:rPr>
        <w:t xml:space="preserve">anti-s </w:t>
      </w:r>
      <w:r w:rsidRPr="007E51E0">
        <w:rPr>
          <w:i/>
          <w:lang w:val="en-IE"/>
        </w:rPr>
        <w:t>B. mallei</w:t>
      </w:r>
      <w:r w:rsidRPr="007E51E0">
        <w:rPr>
          <w:lang w:val="en-IE"/>
        </w:rPr>
        <w:t xml:space="preserve"> LPS </w:t>
      </w:r>
      <w:proofErr w:type="spellStart"/>
      <w:r w:rsidRPr="007E51E0">
        <w:rPr>
          <w:lang w:val="en-IE"/>
        </w:rPr>
        <w:t>MAb</w:t>
      </w:r>
      <w:proofErr w:type="spellEnd"/>
      <w:r w:rsidRPr="007E51E0">
        <w:rPr>
          <w:lang w:val="en-IE"/>
        </w:rPr>
        <w:t xml:space="preserve"> along with antigen prepared from a regional </w:t>
      </w:r>
      <w:r w:rsidRPr="007E51E0">
        <w:rPr>
          <w:i/>
          <w:lang w:val="en-IE"/>
        </w:rPr>
        <w:t>B. mallei</w:t>
      </w:r>
      <w:r w:rsidRPr="007E51E0">
        <w:rPr>
          <w:lang w:val="en-IE"/>
        </w:rPr>
        <w:t xml:space="preserve"> isolate. </w:t>
      </w:r>
      <w:r w:rsidR="004B3D0C" w:rsidRPr="007E51E0">
        <w:rPr>
          <w:lang w:val="en-IE"/>
        </w:rPr>
        <w:t xml:space="preserve">This showed higher sensitivity than CFT in identifying field cases. The C-ELISA has been evaluated on donkey sera and reliable results obtained in an infection trial. </w:t>
      </w:r>
      <w:r w:rsidRPr="007E51E0">
        <w:rPr>
          <w:lang w:val="en-IE"/>
        </w:rPr>
        <w:t xml:space="preserve">Continuing development of monoclonal antibody reagents specific for </w:t>
      </w:r>
      <w:r w:rsidRPr="007E51E0">
        <w:rPr>
          <w:i/>
          <w:iCs/>
          <w:lang w:val="en-IE"/>
        </w:rPr>
        <w:t>B. mallei</w:t>
      </w:r>
      <w:r w:rsidRPr="007E51E0">
        <w:rPr>
          <w:lang w:val="en-IE"/>
        </w:rPr>
        <w:t xml:space="preserve"> antigenic components will offer the possibility to develop more specific ELISAs</w:t>
      </w:r>
      <w:r w:rsidR="00201689" w:rsidRPr="007E51E0">
        <w:rPr>
          <w:lang w:val="en-IE"/>
        </w:rPr>
        <w:t xml:space="preserve"> </w:t>
      </w:r>
      <w:r w:rsidRPr="007E51E0">
        <w:rPr>
          <w:lang w:val="en-IE"/>
        </w:rPr>
        <w:t xml:space="preserve">that will help to resolve questionable test results of quarantined imported horses (Neubauer </w:t>
      </w:r>
      <w:r w:rsidRPr="007E51E0">
        <w:rPr>
          <w:i/>
          <w:lang w:val="en-IE"/>
        </w:rPr>
        <w:t>et al.</w:t>
      </w:r>
      <w:r w:rsidRPr="007E51E0">
        <w:rPr>
          <w:lang w:val="en-IE"/>
        </w:rPr>
        <w:t>, 1997).</w:t>
      </w:r>
      <w:r w:rsidR="00202DA8" w:rsidRPr="007E51E0">
        <w:rPr>
          <w:lang w:val="en-IE"/>
        </w:rPr>
        <w:t xml:space="preserve"> For melioidosis</w:t>
      </w:r>
      <w:r w:rsidR="00A271B5" w:rsidRPr="007E51E0">
        <w:rPr>
          <w:lang w:val="en-IE"/>
        </w:rPr>
        <w:t>,</w:t>
      </w:r>
      <w:r w:rsidR="00202DA8" w:rsidRPr="007E51E0">
        <w:rPr>
          <w:lang w:val="en-IE"/>
        </w:rPr>
        <w:t xml:space="preserve"> no serological techniques have been validated for use in veterinary medicine </w:t>
      </w:r>
      <w:r w:rsidR="00A01B27" w:rsidRPr="007E51E0">
        <w:rPr>
          <w:lang w:val="en-IE"/>
        </w:rPr>
        <w:t>n</w:t>
      </w:r>
      <w:r w:rsidR="00C62455" w:rsidRPr="007E51E0">
        <w:rPr>
          <w:lang w:val="en-IE"/>
        </w:rPr>
        <w:t xml:space="preserve">or are </w:t>
      </w:r>
      <w:r w:rsidR="00A271B5" w:rsidRPr="007E51E0">
        <w:rPr>
          <w:lang w:val="en-IE"/>
        </w:rPr>
        <w:t>an</w:t>
      </w:r>
      <w:r w:rsidR="00A01B27" w:rsidRPr="007E51E0">
        <w:rPr>
          <w:lang w:val="en-IE"/>
        </w:rPr>
        <w:t xml:space="preserve">y </w:t>
      </w:r>
      <w:r w:rsidR="00C62455" w:rsidRPr="007E51E0">
        <w:rPr>
          <w:lang w:val="en-IE"/>
        </w:rPr>
        <w:t>commercially available</w:t>
      </w:r>
      <w:r w:rsidR="00202DA8" w:rsidRPr="007E51E0">
        <w:rPr>
          <w:lang w:val="en-IE"/>
        </w:rPr>
        <w:t>.</w:t>
      </w:r>
    </w:p>
    <w:p w14:paraId="37910F49" w14:textId="03E8318C" w:rsidR="007E56A8" w:rsidRPr="00933299" w:rsidRDefault="007E56A8" w:rsidP="00815041">
      <w:pPr>
        <w:pStyle w:val="11Para"/>
        <w:rPr>
          <w:strike/>
          <w:lang w:val="en-IE"/>
        </w:rPr>
      </w:pPr>
      <w:r w:rsidRPr="006264C8">
        <w:rPr>
          <w:strike/>
          <w:lang w:val="en-IE"/>
        </w:rPr>
        <w:lastRenderedPageBreak/>
        <w:t>None of these tests has been</w:t>
      </w:r>
      <w:r w:rsidR="00916555" w:rsidRPr="006264C8">
        <w:rPr>
          <w:strike/>
          <w:lang w:val="en-IE"/>
        </w:rPr>
        <w:t xml:space="preserve"> fully</w:t>
      </w:r>
      <w:r w:rsidRPr="006264C8">
        <w:rPr>
          <w:strike/>
          <w:lang w:val="en-IE"/>
        </w:rPr>
        <w:t xml:space="preserve"> validated to date.</w:t>
      </w:r>
      <w:r w:rsidRPr="00933299">
        <w:rPr>
          <w:strike/>
          <w:lang w:val="en-IE"/>
        </w:rPr>
        <w:t xml:space="preserve"> </w:t>
      </w:r>
    </w:p>
    <w:p w14:paraId="1D04ED31" w14:textId="77777777" w:rsidR="00C07D76" w:rsidRDefault="00C07D76">
      <w:pPr>
        <w:tabs>
          <w:tab w:val="clear" w:pos="-720"/>
        </w:tabs>
        <w:spacing w:line="240" w:lineRule="auto"/>
        <w:jc w:val="left"/>
        <w:rPr>
          <w:rFonts w:ascii="Ottawa" w:eastAsiaTheme="minorHAnsi" w:hAnsi="Ottawa" w:cs="Arial"/>
          <w:b/>
          <w:szCs w:val="22"/>
          <w:lang w:val="en-IE" w:eastAsia="en-US"/>
        </w:rPr>
      </w:pPr>
      <w:r>
        <w:rPr>
          <w:lang w:val="en-IE"/>
        </w:rPr>
        <w:br w:type="page"/>
      </w:r>
    </w:p>
    <w:p w14:paraId="5304444A" w14:textId="66CB36DF" w:rsidR="007E56A8" w:rsidRPr="007E51E0" w:rsidRDefault="003331F4" w:rsidP="00815041">
      <w:pPr>
        <w:pStyle w:val="11"/>
        <w:rPr>
          <w:lang w:val="en-IE"/>
        </w:rPr>
      </w:pPr>
      <w:r w:rsidRPr="007E51E0">
        <w:rPr>
          <w:lang w:val="en-IE"/>
        </w:rPr>
        <w:lastRenderedPageBreak/>
        <w:t>3</w:t>
      </w:r>
      <w:r w:rsidR="00622046" w:rsidRPr="007E51E0">
        <w:rPr>
          <w:lang w:val="en-IE"/>
        </w:rPr>
        <w:t>.3.</w:t>
      </w:r>
      <w:r w:rsidR="007E56A8" w:rsidRPr="007E51E0">
        <w:rPr>
          <w:lang w:val="en-IE"/>
        </w:rPr>
        <w:tab/>
        <w:t>Immunoblot assays</w:t>
      </w:r>
    </w:p>
    <w:p w14:paraId="15F9A69E" w14:textId="0DC5F7E8" w:rsidR="00C84E41" w:rsidRPr="007E51E0" w:rsidRDefault="007E56A8" w:rsidP="00C84E41">
      <w:pPr>
        <w:pStyle w:val="11Para"/>
        <w:rPr>
          <w:lang w:val="en-IE"/>
        </w:rPr>
      </w:pPr>
      <w:r w:rsidRPr="007E51E0">
        <w:rPr>
          <w:lang w:val="en-IE"/>
        </w:rPr>
        <w:t>An immunoblot assay was developed for the serodiagnosis of glanders</w:t>
      </w:r>
      <w:r w:rsidR="00A3624E" w:rsidRPr="007E51E0">
        <w:rPr>
          <w:lang w:val="en-IE"/>
        </w:rPr>
        <w:t>,</w:t>
      </w:r>
      <w:r w:rsidRPr="007E51E0">
        <w:rPr>
          <w:lang w:val="en-IE"/>
        </w:rPr>
        <w:t xml:space="preserve"> but further validation was impossible because of the lack of a positive serum control panel (Katz </w:t>
      </w:r>
      <w:r w:rsidRPr="007E51E0">
        <w:rPr>
          <w:i/>
          <w:lang w:val="en-IE"/>
        </w:rPr>
        <w:t>et al.</w:t>
      </w:r>
      <w:r w:rsidRPr="007E51E0">
        <w:rPr>
          <w:lang w:val="en-IE"/>
        </w:rPr>
        <w:t xml:space="preserve">, 1999). Recently, the development of an immunoblot using </w:t>
      </w:r>
      <w:r w:rsidRPr="007E51E0">
        <w:rPr>
          <w:i/>
          <w:lang w:val="en-IE"/>
        </w:rPr>
        <w:t>B. mallei</w:t>
      </w:r>
      <w:r w:rsidRPr="007E51E0">
        <w:rPr>
          <w:lang w:val="en-IE"/>
        </w:rPr>
        <w:t xml:space="preserve"> LPS antigen was reinitiated. The aim was to obtain a more sensitive test than the CFT in order to retest false positive CFT sera in non-endemic areas (Elschner </w:t>
      </w:r>
      <w:r w:rsidRPr="007E51E0">
        <w:rPr>
          <w:i/>
          <w:lang w:val="en-IE"/>
        </w:rPr>
        <w:t>et al.</w:t>
      </w:r>
      <w:r w:rsidRPr="007E51E0">
        <w:rPr>
          <w:lang w:val="en-IE"/>
        </w:rPr>
        <w:t xml:space="preserve">, 2011). The developed assay is based on crude antigen preparations of the </w:t>
      </w:r>
      <w:r w:rsidRPr="007E51E0">
        <w:rPr>
          <w:i/>
          <w:lang w:val="en-IE"/>
        </w:rPr>
        <w:t>B. mallei</w:t>
      </w:r>
      <w:r w:rsidRPr="007E51E0">
        <w:rPr>
          <w:lang w:val="en-IE"/>
        </w:rPr>
        <w:t xml:space="preserve"> strains Bogor, Zagreb and </w:t>
      </w:r>
      <w:proofErr w:type="spellStart"/>
      <w:r w:rsidRPr="007E51E0">
        <w:rPr>
          <w:lang w:val="en-IE"/>
        </w:rPr>
        <w:t>Mukteswar</w:t>
      </w:r>
      <w:proofErr w:type="spellEnd"/>
      <w:r w:rsidRPr="007E51E0">
        <w:rPr>
          <w:lang w:val="en-IE"/>
        </w:rPr>
        <w:t xml:space="preserve">, which are also the basis of most CFT antigen formulations. The antigens are separated by SDS-PAGE </w:t>
      </w:r>
      <w:r w:rsidR="00A3624E" w:rsidRPr="007E51E0">
        <w:rPr>
          <w:lang w:val="en-IE"/>
        </w:rPr>
        <w:t xml:space="preserve">(sodium dodecyl sulphate-polyacrylamide gel electrophoresis) </w:t>
      </w:r>
      <w:r w:rsidRPr="007E51E0">
        <w:rPr>
          <w:lang w:val="en-IE"/>
        </w:rPr>
        <w:t>and subsequently transferred to nitrocellulose membranes. Anti-</w:t>
      </w:r>
      <w:r w:rsidRPr="007E51E0">
        <w:rPr>
          <w:i/>
          <w:lang w:val="en-IE"/>
        </w:rPr>
        <w:t>B. mallei</w:t>
      </w:r>
      <w:r w:rsidRPr="007E51E0">
        <w:rPr>
          <w:lang w:val="en-IE"/>
        </w:rPr>
        <w:t xml:space="preserve"> LPS antibodies in a serum sample reacting to the antigen on the blot strip are visualised by animal species</w:t>
      </w:r>
      <w:r w:rsidR="00A3624E" w:rsidRPr="007E51E0">
        <w:rPr>
          <w:lang w:val="en-IE"/>
        </w:rPr>
        <w:t>-</w:t>
      </w:r>
      <w:r w:rsidRPr="007E51E0">
        <w:rPr>
          <w:lang w:val="en-IE"/>
        </w:rPr>
        <w:t xml:space="preserve">specific (phosphatase) conjugate and the NBT-BCIP </w:t>
      </w:r>
      <w:r w:rsidR="00171410" w:rsidRPr="007E51E0">
        <w:rPr>
          <w:lang w:val="en-IE"/>
        </w:rPr>
        <w:t xml:space="preserve">(Nitro blue tetrazolium-5-bromo-4-chloro-3-indolyl-phosphate) </w:t>
      </w:r>
      <w:r w:rsidRPr="007E51E0">
        <w:rPr>
          <w:lang w:val="en-IE"/>
        </w:rPr>
        <w:t xml:space="preserve">colour system. The immunoblot is scored positive if the banding pattern of the </w:t>
      </w:r>
      <w:r w:rsidRPr="007E51E0">
        <w:rPr>
          <w:i/>
          <w:lang w:val="en-IE"/>
        </w:rPr>
        <w:t>B. mallei</w:t>
      </w:r>
      <w:r w:rsidRPr="007E51E0">
        <w:rPr>
          <w:lang w:val="en-IE"/>
        </w:rPr>
        <w:t xml:space="preserve"> LPS ladder within the 20–60 </w:t>
      </w:r>
      <w:proofErr w:type="spellStart"/>
      <w:r w:rsidRPr="007E51E0">
        <w:rPr>
          <w:lang w:val="en-IE"/>
        </w:rPr>
        <w:t>kDa</w:t>
      </w:r>
      <w:proofErr w:type="spellEnd"/>
      <w:r w:rsidRPr="007E51E0">
        <w:rPr>
          <w:lang w:val="en-IE"/>
        </w:rPr>
        <w:t xml:space="preserve"> region is clearly visible, suspicious if a weak colour reaction is detected and negative if no reaction is seen. 171 sera of glanderous horses and mules from Pakistan and Brazil and 305 sera of negative German horses were investigated and</w:t>
      </w:r>
      <w:r w:rsidR="009407FA" w:rsidRPr="007E51E0">
        <w:rPr>
          <w:lang w:val="en-IE"/>
        </w:rPr>
        <w:t xml:space="preserve"> all glanders positive </w:t>
      </w:r>
      <w:r w:rsidR="00B30AB6" w:rsidRPr="007E51E0">
        <w:rPr>
          <w:lang w:val="en-IE"/>
        </w:rPr>
        <w:t xml:space="preserve">and </w:t>
      </w:r>
      <w:r w:rsidR="009407FA" w:rsidRPr="007E51E0">
        <w:rPr>
          <w:lang w:val="en-IE"/>
        </w:rPr>
        <w:t>negative animals were diagnosed correctly</w:t>
      </w:r>
      <w:r w:rsidR="008532D7" w:rsidRPr="007E51E0">
        <w:rPr>
          <w:lang w:val="en-IE"/>
        </w:rPr>
        <w:t>, however the test has not been fully validated to date</w:t>
      </w:r>
      <w:r w:rsidR="000006E0" w:rsidRPr="007E51E0">
        <w:rPr>
          <w:lang w:val="en-IE"/>
        </w:rPr>
        <w:t xml:space="preserve">. </w:t>
      </w:r>
      <w:r w:rsidR="00AD57E2" w:rsidRPr="007E51E0">
        <w:rPr>
          <w:lang w:val="en-IE"/>
        </w:rPr>
        <w:t>T</w:t>
      </w:r>
      <w:r w:rsidRPr="007E51E0">
        <w:rPr>
          <w:lang w:val="en-IE"/>
        </w:rPr>
        <w:t>his test is not able to differentiate glanders from melioidosis infection and it has not yet been evaluated for use in donkeys because of the lack of a significant number of positive control sera.</w:t>
      </w:r>
      <w:r w:rsidR="00C84E41" w:rsidRPr="007E51E0">
        <w:rPr>
          <w:lang w:val="en-IE"/>
        </w:rPr>
        <w:t xml:space="preserve"> For melioidosis</w:t>
      </w:r>
      <w:r w:rsidR="00A271B5" w:rsidRPr="007E51E0">
        <w:rPr>
          <w:lang w:val="en-IE"/>
        </w:rPr>
        <w:t>,</w:t>
      </w:r>
      <w:r w:rsidR="00C84E41" w:rsidRPr="007E51E0">
        <w:rPr>
          <w:lang w:val="en-IE"/>
        </w:rPr>
        <w:t xml:space="preserve"> no serological techniques have </w:t>
      </w:r>
      <w:r w:rsidR="00A01B27" w:rsidRPr="007E51E0">
        <w:rPr>
          <w:lang w:val="en-IE"/>
        </w:rPr>
        <w:t xml:space="preserve">yet </w:t>
      </w:r>
      <w:r w:rsidR="00C84E41" w:rsidRPr="007E51E0">
        <w:rPr>
          <w:lang w:val="en-IE"/>
        </w:rPr>
        <w:t>been validated for use in veterinary medicine.</w:t>
      </w:r>
    </w:p>
    <w:p w14:paraId="11897910" w14:textId="25A1C034" w:rsidR="007E56A8" w:rsidRPr="007E51E0" w:rsidRDefault="003331F4" w:rsidP="00815041">
      <w:pPr>
        <w:pStyle w:val="11"/>
        <w:rPr>
          <w:lang w:val="en-IE"/>
        </w:rPr>
      </w:pPr>
      <w:r w:rsidRPr="007E51E0">
        <w:rPr>
          <w:lang w:val="en-IE"/>
        </w:rPr>
        <w:t>3</w:t>
      </w:r>
      <w:r w:rsidR="00622046" w:rsidRPr="007E51E0">
        <w:rPr>
          <w:lang w:val="en-IE"/>
        </w:rPr>
        <w:t>.4.</w:t>
      </w:r>
      <w:r w:rsidR="007E56A8" w:rsidRPr="007E51E0">
        <w:rPr>
          <w:lang w:val="en-IE"/>
        </w:rPr>
        <w:tab/>
        <w:t>Other serological tests</w:t>
      </w:r>
    </w:p>
    <w:p w14:paraId="61F61435" w14:textId="2D309C30" w:rsidR="007E56A8" w:rsidRPr="007E51E0" w:rsidRDefault="007E56A8" w:rsidP="00815041">
      <w:pPr>
        <w:pStyle w:val="11Para"/>
        <w:rPr>
          <w:lang w:val="en-IE"/>
        </w:rPr>
      </w:pPr>
      <w:r w:rsidRPr="007E51E0">
        <w:rPr>
          <w:lang w:val="en-IE"/>
        </w:rPr>
        <w:t xml:space="preserve">The </w:t>
      </w:r>
      <w:r w:rsidR="005A22F5" w:rsidRPr="007E51E0">
        <w:rPr>
          <w:lang w:val="en-IE"/>
        </w:rPr>
        <w:t xml:space="preserve">rose </w:t>
      </w:r>
      <w:proofErr w:type="spellStart"/>
      <w:r w:rsidR="005A22F5" w:rsidRPr="007E51E0">
        <w:rPr>
          <w:lang w:val="en-IE"/>
        </w:rPr>
        <w:t>bengal</w:t>
      </w:r>
      <w:proofErr w:type="spellEnd"/>
      <w:r w:rsidR="005A22F5" w:rsidRPr="007E51E0">
        <w:rPr>
          <w:lang w:val="en-IE"/>
        </w:rPr>
        <w:t xml:space="preserve"> </w:t>
      </w:r>
      <w:r w:rsidRPr="007E51E0">
        <w:rPr>
          <w:lang w:val="en-IE"/>
        </w:rPr>
        <w:t xml:space="preserve">plate agglutination test (RBT) has been described for the diagnosis of glanders in horses and other susceptible animals; </w:t>
      </w:r>
      <w:r w:rsidR="00D678C4" w:rsidRPr="007E51E0">
        <w:rPr>
          <w:lang w:val="en-IE"/>
        </w:rPr>
        <w:t>and</w:t>
      </w:r>
      <w:r w:rsidRPr="007E51E0">
        <w:rPr>
          <w:lang w:val="en-IE"/>
        </w:rPr>
        <w:t xml:space="preserve"> has been validated in Russia. </w:t>
      </w:r>
      <w:r w:rsidR="00AF13A7" w:rsidRPr="007E51E0">
        <w:rPr>
          <w:lang w:val="en-IE"/>
        </w:rPr>
        <w:t xml:space="preserve">In a study in Pakistan the RBT showed a sensitivity of 90% and a specificity of 100% (Naureen </w:t>
      </w:r>
      <w:r w:rsidR="00AF13A7" w:rsidRPr="007E51E0">
        <w:rPr>
          <w:i/>
          <w:lang w:val="en-IE"/>
        </w:rPr>
        <w:t>et al.</w:t>
      </w:r>
      <w:r w:rsidR="00AF13A7" w:rsidRPr="007E51E0">
        <w:rPr>
          <w:lang w:val="en-IE"/>
        </w:rPr>
        <w:t xml:space="preserve">, 2007). </w:t>
      </w:r>
      <w:r w:rsidRPr="007E51E0">
        <w:rPr>
          <w:lang w:val="en-IE"/>
        </w:rPr>
        <w:t xml:space="preserve">The antigen is a heat-inactivated bacterial suspension coloured with Rose Bengal, which is used in a plate agglutination test. </w:t>
      </w:r>
    </w:p>
    <w:p w14:paraId="38721457" w14:textId="77777777" w:rsidR="007E56A8" w:rsidRPr="007E51E0" w:rsidRDefault="007E56A8" w:rsidP="00815041">
      <w:pPr>
        <w:pStyle w:val="11Para"/>
        <w:rPr>
          <w:lang w:val="en-IE"/>
        </w:rPr>
      </w:pPr>
      <w:r w:rsidRPr="007E51E0">
        <w:rPr>
          <w:lang w:val="en-IE"/>
        </w:rPr>
        <w:t>The accuracy of other agglutination and precipitin tests is unsatisfactory for control programmes. Horses with chronic glanders and those in a debilitated condition give negative or inconclusive results.</w:t>
      </w:r>
    </w:p>
    <w:p w14:paraId="10CDBC3E" w14:textId="37F5C95D" w:rsidR="00202DA8" w:rsidRPr="007E51E0" w:rsidRDefault="00202DA8" w:rsidP="00202DA8">
      <w:pPr>
        <w:pStyle w:val="11Para"/>
        <w:rPr>
          <w:lang w:val="en-IE"/>
        </w:rPr>
      </w:pPr>
      <w:r w:rsidRPr="007E51E0">
        <w:rPr>
          <w:lang w:val="en-IE"/>
        </w:rPr>
        <w:t>For melioidosis</w:t>
      </w:r>
      <w:r w:rsidR="00A271B5" w:rsidRPr="007E51E0">
        <w:rPr>
          <w:lang w:val="en-IE"/>
        </w:rPr>
        <w:t>,</w:t>
      </w:r>
      <w:r w:rsidRPr="007E51E0">
        <w:rPr>
          <w:lang w:val="en-IE"/>
        </w:rPr>
        <w:t xml:space="preserve"> no serological techniques have </w:t>
      </w:r>
      <w:r w:rsidR="00064A86" w:rsidRPr="007E51E0">
        <w:rPr>
          <w:lang w:val="en-IE"/>
        </w:rPr>
        <w:t xml:space="preserve">yet </w:t>
      </w:r>
      <w:r w:rsidRPr="007E51E0">
        <w:rPr>
          <w:lang w:val="en-IE"/>
        </w:rPr>
        <w:t>been validated for use in veterinary medicine.</w:t>
      </w:r>
    </w:p>
    <w:p w14:paraId="0B831457" w14:textId="4DDD8B26" w:rsidR="007E56A8" w:rsidRPr="007E51E0" w:rsidRDefault="003331F4" w:rsidP="00E512BE">
      <w:pPr>
        <w:pStyle w:val="1"/>
        <w:rPr>
          <w:lang w:val="en-IE"/>
        </w:rPr>
      </w:pPr>
      <w:r w:rsidRPr="007E51E0">
        <w:rPr>
          <w:lang w:val="en-IE"/>
        </w:rPr>
        <w:t>4</w:t>
      </w:r>
      <w:r w:rsidR="007E56A8" w:rsidRPr="007E51E0">
        <w:rPr>
          <w:lang w:val="en-IE"/>
        </w:rPr>
        <w:t>.</w:t>
      </w:r>
      <w:r w:rsidR="007E56A8" w:rsidRPr="007E51E0">
        <w:rPr>
          <w:lang w:val="en-IE"/>
        </w:rPr>
        <w:tab/>
        <w:t>Tests for cellular immunity</w:t>
      </w:r>
    </w:p>
    <w:p w14:paraId="3EB01310" w14:textId="36E02134" w:rsidR="007E56A8" w:rsidRPr="007E51E0" w:rsidRDefault="003331F4" w:rsidP="00815041">
      <w:pPr>
        <w:pStyle w:val="11"/>
        <w:rPr>
          <w:lang w:val="en-IE"/>
        </w:rPr>
      </w:pPr>
      <w:r w:rsidRPr="007E51E0">
        <w:rPr>
          <w:lang w:val="en-IE"/>
        </w:rPr>
        <w:t>4</w:t>
      </w:r>
      <w:r w:rsidR="00622046" w:rsidRPr="007E51E0">
        <w:rPr>
          <w:lang w:val="en-IE"/>
        </w:rPr>
        <w:t>.1.</w:t>
      </w:r>
      <w:r w:rsidR="007E56A8" w:rsidRPr="007E51E0">
        <w:rPr>
          <w:lang w:val="en-IE"/>
        </w:rPr>
        <w:tab/>
        <w:t xml:space="preserve">The </w:t>
      </w:r>
      <w:proofErr w:type="spellStart"/>
      <w:r w:rsidR="007E56A8" w:rsidRPr="007E51E0">
        <w:rPr>
          <w:lang w:val="en-IE"/>
        </w:rPr>
        <w:t>mallein</w:t>
      </w:r>
      <w:proofErr w:type="spellEnd"/>
      <w:r w:rsidR="007E56A8" w:rsidRPr="007E51E0">
        <w:rPr>
          <w:lang w:val="en-IE"/>
        </w:rPr>
        <w:t xml:space="preserve"> test</w:t>
      </w:r>
    </w:p>
    <w:p w14:paraId="03D83544" w14:textId="77777777" w:rsidR="007E56A8" w:rsidRPr="007E51E0" w:rsidRDefault="007E56A8" w:rsidP="00815041">
      <w:pPr>
        <w:pStyle w:val="11Para"/>
        <w:rPr>
          <w:lang w:val="en-IE"/>
        </w:rPr>
      </w:pPr>
      <w:r w:rsidRPr="007E51E0">
        <w:rPr>
          <w:lang w:val="en-IE"/>
        </w:rPr>
        <w:t xml:space="preserve">The </w:t>
      </w:r>
      <w:proofErr w:type="spellStart"/>
      <w:r w:rsidRPr="007E51E0">
        <w:rPr>
          <w:lang w:val="en-IE"/>
        </w:rPr>
        <w:t>mallein</w:t>
      </w:r>
      <w:proofErr w:type="spellEnd"/>
      <w:r w:rsidRPr="007E51E0">
        <w:rPr>
          <w:lang w:val="en-IE"/>
        </w:rPr>
        <w:t xml:space="preserve"> purified protein derivative (PPD), which is available commercially, is a solution of water-soluble protein fractions of heat-treated </w:t>
      </w:r>
      <w:r w:rsidRPr="007E51E0">
        <w:rPr>
          <w:i/>
          <w:lang w:val="en-IE"/>
        </w:rPr>
        <w:t>B. mallei</w:t>
      </w:r>
      <w:r w:rsidRPr="007E51E0">
        <w:rPr>
          <w:lang w:val="en-IE"/>
        </w:rPr>
        <w:t xml:space="preserve">. See section C below for details of its preparation and availability. The test is not generally recommended because of animal welfare concerns, however it can be useful in remote endemic areas where sample transport or proper cooling of samples is not possible. It depends on infected horses being hypersensitive to </w:t>
      </w:r>
      <w:proofErr w:type="spellStart"/>
      <w:r w:rsidRPr="007E51E0">
        <w:rPr>
          <w:lang w:val="en-IE"/>
        </w:rPr>
        <w:t>mallein</w:t>
      </w:r>
      <w:proofErr w:type="spellEnd"/>
      <w:r w:rsidRPr="007E51E0">
        <w:rPr>
          <w:lang w:val="en-IE"/>
        </w:rPr>
        <w:t>. Advanced clinical cases in horses and acute cases in donkeys and mules may give inconclusive results requiring additional diagnostic methods.</w:t>
      </w:r>
    </w:p>
    <w:p w14:paraId="18802D20" w14:textId="77777777" w:rsidR="007E56A8" w:rsidRPr="007E51E0" w:rsidRDefault="007E56A8" w:rsidP="00502798">
      <w:pPr>
        <w:pStyle w:val="11Para"/>
        <w:rPr>
          <w:lang w:val="en-IE"/>
        </w:rPr>
      </w:pPr>
      <w:r w:rsidRPr="007E51E0">
        <w:rPr>
          <w:lang w:val="en-IE"/>
        </w:rPr>
        <w:t xml:space="preserve">The </w:t>
      </w:r>
      <w:proofErr w:type="spellStart"/>
      <w:r w:rsidRPr="007E51E0">
        <w:rPr>
          <w:lang w:val="en-IE"/>
        </w:rPr>
        <w:t>intradermo</w:t>
      </w:r>
      <w:proofErr w:type="spellEnd"/>
      <w:r w:rsidRPr="007E51E0">
        <w:rPr>
          <w:lang w:val="en-IE"/>
        </w:rPr>
        <w:t xml:space="preserve">-palpebral test is the most sensitive, reliable and specific </w:t>
      </w:r>
      <w:proofErr w:type="spellStart"/>
      <w:r w:rsidRPr="007E51E0">
        <w:rPr>
          <w:lang w:val="en-IE"/>
        </w:rPr>
        <w:t>mallein</w:t>
      </w:r>
      <w:proofErr w:type="spellEnd"/>
      <w:r w:rsidRPr="007E51E0">
        <w:rPr>
          <w:lang w:val="en-IE"/>
        </w:rPr>
        <w:t xml:space="preserve"> test for detecting infected perissodactyls or odd-toed ungulates, and has largely displaced other methods. 0.1 ml of concentrated </w:t>
      </w:r>
      <w:proofErr w:type="spellStart"/>
      <w:r w:rsidRPr="007E51E0">
        <w:rPr>
          <w:lang w:val="en-IE"/>
        </w:rPr>
        <w:t>mallein</w:t>
      </w:r>
      <w:proofErr w:type="spellEnd"/>
      <w:r w:rsidRPr="007E51E0">
        <w:rPr>
          <w:lang w:val="en-IE"/>
        </w:rPr>
        <w:t xml:space="preserve"> PPD is injected intradermally into the lower eyelid and the test is read at 24 and 48 hours. A positive reaction is characterised by marked oedematous swelling of the eyelid, and there may be a purulent discharge from the inner canthus or conjunctiva. This is usually accompanied by a rise in temperature. With a negative response, there is usually no reaction or only a little swelling of the lower lid.</w:t>
      </w:r>
    </w:p>
    <w:p w14:paraId="42E59169" w14:textId="6F995809" w:rsidR="000848F6" w:rsidRPr="007E51E0" w:rsidRDefault="000848F6" w:rsidP="00815041">
      <w:pPr>
        <w:pStyle w:val="11Para"/>
        <w:spacing w:after="480"/>
        <w:rPr>
          <w:lang w:val="en-IE"/>
        </w:rPr>
      </w:pPr>
      <w:r w:rsidRPr="007E51E0">
        <w:rPr>
          <w:lang w:val="en-IE"/>
        </w:rPr>
        <w:t xml:space="preserve">No data </w:t>
      </w:r>
      <w:r w:rsidR="00064A86" w:rsidRPr="007E51E0">
        <w:rPr>
          <w:lang w:val="en-IE"/>
        </w:rPr>
        <w:t xml:space="preserve">are available </w:t>
      </w:r>
      <w:r w:rsidRPr="007E51E0">
        <w:rPr>
          <w:lang w:val="en-IE"/>
        </w:rPr>
        <w:t xml:space="preserve">for use of this PPD for equids </w:t>
      </w:r>
      <w:r w:rsidR="00A271B5" w:rsidRPr="007E51E0">
        <w:rPr>
          <w:lang w:val="en-IE"/>
        </w:rPr>
        <w:t>with</w:t>
      </w:r>
      <w:r w:rsidRPr="007E51E0">
        <w:rPr>
          <w:lang w:val="en-IE"/>
        </w:rPr>
        <w:t xml:space="preserve"> melioidosis.</w:t>
      </w:r>
    </w:p>
    <w:p w14:paraId="084FD9AE" w14:textId="77777777" w:rsidR="007E56A8" w:rsidRPr="007E51E0" w:rsidRDefault="007E56A8" w:rsidP="008E2EEF">
      <w:pPr>
        <w:pStyle w:val="A0"/>
        <w:rPr>
          <w:lang w:val="en-IE"/>
        </w:rPr>
      </w:pPr>
      <w:r w:rsidRPr="007E51E0">
        <w:rPr>
          <w:lang w:val="en-IE"/>
        </w:rPr>
        <w:t xml:space="preserve">C.  REQUIREMENTS FOR </w:t>
      </w:r>
      <w:r w:rsidR="008E2EEF" w:rsidRPr="007E51E0">
        <w:rPr>
          <w:lang w:val="en-IE"/>
        </w:rPr>
        <w:t xml:space="preserve">vaccines and </w:t>
      </w:r>
      <w:r w:rsidRPr="007E51E0">
        <w:rPr>
          <w:lang w:val="en-IE"/>
        </w:rPr>
        <w:t>DIAGNOSTIC BIOLOGICALS</w:t>
      </w:r>
    </w:p>
    <w:p w14:paraId="7A5E8C66" w14:textId="7EF70950" w:rsidR="007E56A8" w:rsidRPr="007E51E0" w:rsidRDefault="007E56A8" w:rsidP="00C63272">
      <w:pPr>
        <w:pStyle w:val="paraA0"/>
        <w:rPr>
          <w:lang w:val="en-IE"/>
        </w:rPr>
      </w:pPr>
      <w:r w:rsidRPr="007E51E0">
        <w:rPr>
          <w:lang w:val="en-IE"/>
        </w:rPr>
        <w:t>No vaccines are available</w:t>
      </w:r>
      <w:r w:rsidR="000848F6" w:rsidRPr="007E51E0">
        <w:rPr>
          <w:lang w:val="en-IE"/>
        </w:rPr>
        <w:t xml:space="preserve"> for glanders or melioidosis</w:t>
      </w:r>
      <w:r w:rsidRPr="007E51E0">
        <w:rPr>
          <w:lang w:val="en-IE"/>
        </w:rPr>
        <w:t>.</w:t>
      </w:r>
    </w:p>
    <w:p w14:paraId="183D1AFF" w14:textId="77777777" w:rsidR="007E56A8" w:rsidRPr="007E51E0" w:rsidRDefault="007E56A8" w:rsidP="00FA6602">
      <w:pPr>
        <w:pStyle w:val="paraA0"/>
        <w:rPr>
          <w:lang w:val="en-IE"/>
        </w:rPr>
      </w:pPr>
      <w:proofErr w:type="spellStart"/>
      <w:r w:rsidRPr="007E51E0">
        <w:rPr>
          <w:lang w:val="en-IE"/>
        </w:rPr>
        <w:lastRenderedPageBreak/>
        <w:t>Mallein</w:t>
      </w:r>
      <w:proofErr w:type="spellEnd"/>
      <w:r w:rsidRPr="007E51E0">
        <w:rPr>
          <w:lang w:val="en-IE"/>
        </w:rPr>
        <w:t xml:space="preserve"> PPD is available commercially</w:t>
      </w:r>
      <w:r w:rsidRPr="00832C31">
        <w:rPr>
          <w:rStyle w:val="Appelnotedebasdep"/>
          <w:lang w:val="en-IE"/>
        </w:rPr>
        <w:footnoteReference w:id="4"/>
      </w:r>
      <w:r w:rsidRPr="007E51E0">
        <w:rPr>
          <w:lang w:val="en-IE"/>
        </w:rPr>
        <w:t>.</w:t>
      </w:r>
      <w:r w:rsidR="00201689" w:rsidRPr="007E51E0">
        <w:rPr>
          <w:lang w:val="en-IE"/>
        </w:rPr>
        <w:t xml:space="preserve"> </w:t>
      </w:r>
      <w:r w:rsidRPr="007E51E0">
        <w:rPr>
          <w:lang w:val="en-IE"/>
        </w:rPr>
        <w:t xml:space="preserve">The following information outlines the requirements for the production of </w:t>
      </w:r>
      <w:proofErr w:type="spellStart"/>
      <w:r w:rsidRPr="007E51E0">
        <w:rPr>
          <w:lang w:val="en-IE"/>
        </w:rPr>
        <w:t>mallein</w:t>
      </w:r>
      <w:proofErr w:type="spellEnd"/>
      <w:r w:rsidRPr="007E51E0">
        <w:rPr>
          <w:lang w:val="en-IE"/>
        </w:rPr>
        <w:t xml:space="preserve"> PPD.</w:t>
      </w:r>
    </w:p>
    <w:p w14:paraId="7B415883" w14:textId="0E1E1E25" w:rsidR="007E56A8" w:rsidRPr="007E51E0" w:rsidRDefault="007E56A8" w:rsidP="00C63272">
      <w:pPr>
        <w:pStyle w:val="1"/>
        <w:rPr>
          <w:lang w:val="en-IE"/>
        </w:rPr>
      </w:pPr>
      <w:r w:rsidRPr="007E51E0">
        <w:rPr>
          <w:lang w:val="en-IE"/>
        </w:rPr>
        <w:t>1.</w:t>
      </w:r>
      <w:r w:rsidRPr="007E51E0">
        <w:rPr>
          <w:lang w:val="en-IE"/>
        </w:rPr>
        <w:tab/>
        <w:t>Seed management</w:t>
      </w:r>
    </w:p>
    <w:p w14:paraId="14ED9C6B" w14:textId="77777777" w:rsidR="007E56A8" w:rsidRPr="007E51E0" w:rsidRDefault="007E56A8" w:rsidP="00BF7474">
      <w:pPr>
        <w:pStyle w:val="para1"/>
        <w:rPr>
          <w:lang w:val="en-IE"/>
        </w:rPr>
      </w:pPr>
      <w:r w:rsidRPr="007E51E0">
        <w:rPr>
          <w:lang w:val="en-IE"/>
        </w:rPr>
        <w:t xml:space="preserve">Three strains of </w:t>
      </w:r>
      <w:proofErr w:type="spellStart"/>
      <w:r w:rsidRPr="007E51E0">
        <w:rPr>
          <w:i/>
          <w:lang w:val="en-IE"/>
        </w:rPr>
        <w:t>Burkholderia</w:t>
      </w:r>
      <w:proofErr w:type="spellEnd"/>
      <w:r w:rsidRPr="007E51E0">
        <w:rPr>
          <w:lang w:val="en-IE"/>
        </w:rPr>
        <w:t xml:space="preserve"> </w:t>
      </w:r>
      <w:r w:rsidRPr="007E51E0">
        <w:rPr>
          <w:i/>
          <w:lang w:val="en-IE"/>
        </w:rPr>
        <w:t>mallei</w:t>
      </w:r>
      <w:r w:rsidRPr="007E51E0">
        <w:rPr>
          <w:lang w:val="en-IE"/>
        </w:rPr>
        <w:t xml:space="preserve"> are employed in the production of </w:t>
      </w:r>
      <w:proofErr w:type="spellStart"/>
      <w:r w:rsidRPr="007E51E0">
        <w:rPr>
          <w:lang w:val="en-IE"/>
        </w:rPr>
        <w:t>mallein</w:t>
      </w:r>
      <w:proofErr w:type="spellEnd"/>
      <w:r w:rsidRPr="007E51E0">
        <w:rPr>
          <w:lang w:val="en-IE"/>
        </w:rPr>
        <w:t xml:space="preserve"> PPD, namely Bogor strain (originating from Indonesia), </w:t>
      </w:r>
      <w:proofErr w:type="spellStart"/>
      <w:r w:rsidRPr="007E51E0">
        <w:rPr>
          <w:lang w:val="en-IE"/>
        </w:rPr>
        <w:t>Mukteswar</w:t>
      </w:r>
      <w:proofErr w:type="spellEnd"/>
      <w:r w:rsidRPr="007E51E0">
        <w:rPr>
          <w:lang w:val="en-IE"/>
        </w:rPr>
        <w:t xml:space="preserve"> strain (India) and Zagreb strain (Yugoslavia). The seed material is kept as a stock of freeze-dried cultures. The strains are </w:t>
      </w:r>
      <w:proofErr w:type="spellStart"/>
      <w:r w:rsidRPr="007E51E0">
        <w:rPr>
          <w:lang w:val="en-IE"/>
        </w:rPr>
        <w:t>subcultured</w:t>
      </w:r>
      <w:proofErr w:type="spellEnd"/>
      <w:r w:rsidRPr="007E51E0">
        <w:rPr>
          <w:lang w:val="en-IE"/>
        </w:rPr>
        <w:t xml:space="preserve"> on to glycerol agar at 37°C for 1–2 days. For maintaining virulence and antigenicity, the strains may be passaged in guinea-pigs.</w:t>
      </w:r>
    </w:p>
    <w:p w14:paraId="7A966E0A" w14:textId="672A4FA5" w:rsidR="007E56A8" w:rsidRPr="007E51E0" w:rsidRDefault="007E56A8" w:rsidP="00C63272">
      <w:pPr>
        <w:pStyle w:val="1"/>
        <w:rPr>
          <w:lang w:val="en-IE"/>
        </w:rPr>
      </w:pPr>
      <w:r w:rsidRPr="007E51E0">
        <w:rPr>
          <w:lang w:val="en-IE"/>
        </w:rPr>
        <w:t>2.</w:t>
      </w:r>
      <w:r w:rsidRPr="007E51E0">
        <w:rPr>
          <w:lang w:val="en-IE"/>
        </w:rPr>
        <w:tab/>
        <w:t>Production</w:t>
      </w:r>
    </w:p>
    <w:p w14:paraId="7808662C" w14:textId="77777777" w:rsidR="007E56A8" w:rsidRPr="007E51E0" w:rsidRDefault="007E56A8" w:rsidP="00223A45">
      <w:pPr>
        <w:pStyle w:val="para1"/>
        <w:rPr>
          <w:lang w:val="en-IE"/>
        </w:rPr>
      </w:pPr>
      <w:r w:rsidRPr="007E51E0">
        <w:rPr>
          <w:lang w:val="en-IE"/>
        </w:rPr>
        <w:t xml:space="preserve">Dorset-Henley medium, enriched by the addition of trace elements, is used for the production of </w:t>
      </w:r>
      <w:proofErr w:type="spellStart"/>
      <w:r w:rsidRPr="007E51E0">
        <w:rPr>
          <w:lang w:val="en-IE"/>
        </w:rPr>
        <w:t>mallein</w:t>
      </w:r>
      <w:proofErr w:type="spellEnd"/>
      <w:r w:rsidRPr="007E51E0">
        <w:rPr>
          <w:lang w:val="en-IE"/>
        </w:rPr>
        <w:t xml:space="preserve"> PPD. The liquid medium is inoculated with a thick saline suspension of </w:t>
      </w:r>
      <w:r w:rsidRPr="007E51E0">
        <w:rPr>
          <w:i/>
          <w:lang w:val="en-IE"/>
        </w:rPr>
        <w:t>B. mallei</w:t>
      </w:r>
      <w:r w:rsidRPr="007E51E0">
        <w:rPr>
          <w:lang w:val="en-IE"/>
        </w:rPr>
        <w:t>, grown on glycerol agar. The production medium is incubated at 37°C for about 10 weeks. The bacteria are then killed by steaming for 3 hours in a Koch’s steriliser. The fluid is then passed through a layer of cotton wool to remove coarse bacterial clumps. The resulting turbid fluid is cleared by membrane filtration, and one part trichloroacetic acid 40 % is immediately added to nine parts culture filtrate. The mixture is allowed to stand overnight during which the light brownish to greyish precipitate settles.</w:t>
      </w:r>
    </w:p>
    <w:p w14:paraId="75449F97" w14:textId="66796699" w:rsidR="007E56A8" w:rsidRPr="007E51E0" w:rsidRDefault="007E56A8" w:rsidP="00C63272">
      <w:pPr>
        <w:pStyle w:val="para1"/>
        <w:rPr>
          <w:lang w:val="en-IE"/>
        </w:rPr>
      </w:pPr>
      <w:r w:rsidRPr="007E51E0">
        <w:rPr>
          <w:lang w:val="en-IE"/>
        </w:rPr>
        <w:t>The supernatant is decanted</w:t>
      </w:r>
      <w:r w:rsidR="00242416" w:rsidRPr="007E51E0">
        <w:rPr>
          <w:lang w:val="en-IE"/>
        </w:rPr>
        <w:t xml:space="preserve"> </w:t>
      </w:r>
      <w:r w:rsidRPr="007E51E0">
        <w:rPr>
          <w:lang w:val="en-IE"/>
        </w:rPr>
        <w:t>and discarded. The precipitate is centrifuged for 15 minutes at 2500 </w:t>
      </w:r>
      <w:r w:rsidRPr="007E51E0">
        <w:rPr>
          <w:b/>
          <w:i/>
          <w:lang w:val="en-IE"/>
        </w:rPr>
        <w:t>g</w:t>
      </w:r>
      <w:r w:rsidRPr="007E51E0">
        <w:rPr>
          <w:lang w:val="en-IE"/>
        </w:rPr>
        <w:t xml:space="preserve"> and the layer of precipitate is washed three or more times in a solution of 5% NaCl, pH 3, until the pH is 2.7. The washed precipitate is dissolved by stirring with a minimum of an alkaline solvent. The fluid is dark brown and has a pH of 6.7. This </w:t>
      </w:r>
      <w:proofErr w:type="spellStart"/>
      <w:r w:rsidRPr="007E51E0">
        <w:rPr>
          <w:lang w:val="en-IE"/>
        </w:rPr>
        <w:t>mallein</w:t>
      </w:r>
      <w:proofErr w:type="spellEnd"/>
      <w:r w:rsidRPr="007E51E0">
        <w:rPr>
          <w:lang w:val="en-IE"/>
        </w:rPr>
        <w:t xml:space="preserve"> concentrate </w:t>
      </w:r>
      <w:r w:rsidR="00E1049D" w:rsidRPr="007E51E0">
        <w:rPr>
          <w:lang w:val="en-IE"/>
        </w:rPr>
        <w:t>is</w:t>
      </w:r>
      <w:r w:rsidRPr="007E51E0">
        <w:rPr>
          <w:lang w:val="en-IE"/>
        </w:rPr>
        <w:t xml:space="preserve"> centrifuged again and the supernatant diluted with an equal amount of a glucose buffer solution. The protein content of this product is estimated by the Kjeldahl method and freeze-dried after it has been dispensed into ampoules.</w:t>
      </w:r>
    </w:p>
    <w:p w14:paraId="64AB5C90" w14:textId="77777777" w:rsidR="007E56A8" w:rsidRPr="007E51E0" w:rsidRDefault="007E56A8" w:rsidP="00C63272">
      <w:pPr>
        <w:pStyle w:val="1"/>
        <w:rPr>
          <w:lang w:val="en-IE"/>
        </w:rPr>
      </w:pPr>
      <w:r w:rsidRPr="007E51E0">
        <w:rPr>
          <w:lang w:val="en-IE"/>
        </w:rPr>
        <w:t>3.</w:t>
      </w:r>
      <w:r w:rsidRPr="007E51E0">
        <w:rPr>
          <w:lang w:val="en-IE"/>
        </w:rPr>
        <w:tab/>
        <w:t>In-process control</w:t>
      </w:r>
    </w:p>
    <w:p w14:paraId="1D0AF222" w14:textId="77777777" w:rsidR="007E56A8" w:rsidRPr="007E51E0" w:rsidRDefault="007E56A8" w:rsidP="00C63272">
      <w:pPr>
        <w:pStyle w:val="para1"/>
        <w:rPr>
          <w:lang w:val="en-IE"/>
        </w:rPr>
      </w:pPr>
      <w:r w:rsidRPr="007E51E0">
        <w:rPr>
          <w:lang w:val="en-IE"/>
        </w:rPr>
        <w:t xml:space="preserve">During the period of incubation, the flasks are inspected regularly for any signs of contamination, and suspicious flasks are discarded. A typical growth of the </w:t>
      </w:r>
      <w:r w:rsidRPr="007E51E0">
        <w:rPr>
          <w:i/>
          <w:lang w:val="en-IE"/>
        </w:rPr>
        <w:t>B. mallei</w:t>
      </w:r>
      <w:r w:rsidRPr="007E51E0">
        <w:rPr>
          <w:lang w:val="en-IE"/>
        </w:rPr>
        <w:t xml:space="preserve"> cultures comprises turbidity, sedimentation, some surface growth with a tendency towards sinking, and the formation of a conspicuous slightly orange-coloured ring along the margin of the surface of the medium.</w:t>
      </w:r>
    </w:p>
    <w:p w14:paraId="47F7B275" w14:textId="77777777" w:rsidR="007E56A8" w:rsidRPr="007E51E0" w:rsidRDefault="007E56A8" w:rsidP="00C63272">
      <w:pPr>
        <w:pStyle w:val="1"/>
        <w:rPr>
          <w:lang w:val="en-IE"/>
        </w:rPr>
      </w:pPr>
      <w:r w:rsidRPr="007E51E0">
        <w:rPr>
          <w:lang w:val="en-IE"/>
        </w:rPr>
        <w:t>4.</w:t>
      </w:r>
      <w:r w:rsidRPr="007E51E0">
        <w:rPr>
          <w:lang w:val="en-IE"/>
        </w:rPr>
        <w:tab/>
        <w:t>Batch control</w:t>
      </w:r>
    </w:p>
    <w:p w14:paraId="0485FD83" w14:textId="77777777" w:rsidR="007E56A8" w:rsidRPr="007E51E0" w:rsidRDefault="007E56A8" w:rsidP="00C63272">
      <w:pPr>
        <w:pStyle w:val="para1"/>
        <w:rPr>
          <w:lang w:val="en-IE"/>
        </w:rPr>
      </w:pPr>
      <w:r w:rsidRPr="007E51E0">
        <w:rPr>
          <w:lang w:val="en-IE"/>
        </w:rPr>
        <w:t xml:space="preserve">Each batch of </w:t>
      </w:r>
      <w:proofErr w:type="spellStart"/>
      <w:r w:rsidRPr="007E51E0">
        <w:rPr>
          <w:lang w:val="en-IE"/>
        </w:rPr>
        <w:t>mallein</w:t>
      </w:r>
      <w:proofErr w:type="spellEnd"/>
      <w:r w:rsidRPr="007E51E0">
        <w:rPr>
          <w:lang w:val="en-IE"/>
        </w:rPr>
        <w:t xml:space="preserve"> PPD is tested for sterility, safety, preservatives, protein content and potency.</w:t>
      </w:r>
    </w:p>
    <w:p w14:paraId="235B3740" w14:textId="77777777" w:rsidR="007E56A8" w:rsidRPr="007E51E0" w:rsidRDefault="007E56A8" w:rsidP="00C63272">
      <w:pPr>
        <w:pStyle w:val="para1"/>
        <w:rPr>
          <w:lang w:val="en-IE"/>
        </w:rPr>
      </w:pPr>
      <w:r w:rsidRPr="007E51E0">
        <w:rPr>
          <w:lang w:val="en-IE"/>
        </w:rPr>
        <w:t>Sterility testing is performed according to the European Pharmacopoeia guidelines.</w:t>
      </w:r>
    </w:p>
    <w:p w14:paraId="7D634F9D" w14:textId="77777777" w:rsidR="007E56A8" w:rsidRPr="007E51E0" w:rsidRDefault="007E56A8" w:rsidP="00C63272">
      <w:pPr>
        <w:pStyle w:val="para1"/>
        <w:rPr>
          <w:lang w:val="en-IE"/>
        </w:rPr>
      </w:pPr>
      <w:r w:rsidRPr="007E51E0">
        <w:rPr>
          <w:lang w:val="en-IE"/>
        </w:rPr>
        <w:t xml:space="preserve">The examination for safety is conducted on five to ten normal healthy horses by applying the </w:t>
      </w:r>
      <w:proofErr w:type="spellStart"/>
      <w:r w:rsidRPr="007E51E0">
        <w:rPr>
          <w:lang w:val="en-IE"/>
        </w:rPr>
        <w:t>intradermo</w:t>
      </w:r>
      <w:proofErr w:type="spellEnd"/>
      <w:r w:rsidRPr="007E51E0">
        <w:rPr>
          <w:lang w:val="en-IE"/>
        </w:rPr>
        <w:t>-palpebral test. The resulting swelling should be, at most, barely detectable and transient, without any signs of conjunctival discharge.</w:t>
      </w:r>
    </w:p>
    <w:p w14:paraId="65F2312B" w14:textId="77777777" w:rsidR="007E56A8" w:rsidRPr="007E51E0" w:rsidRDefault="007E56A8" w:rsidP="00C63272">
      <w:pPr>
        <w:pStyle w:val="para1"/>
        <w:rPr>
          <w:lang w:val="en-IE"/>
        </w:rPr>
      </w:pPr>
      <w:r w:rsidRPr="007E51E0">
        <w:rPr>
          <w:lang w:val="en-IE"/>
        </w:rPr>
        <w:t>Preparations containing phenol as a preservative should not contain more than 0.5% (w/v) phenol. The protein content should be no less than 0.95 mg/ml and not more than 1.05 mg/ml.</w:t>
      </w:r>
    </w:p>
    <w:p w14:paraId="175537A2" w14:textId="77777777" w:rsidR="007E56A8" w:rsidRPr="007E51E0" w:rsidRDefault="007E56A8" w:rsidP="00C63272">
      <w:pPr>
        <w:pStyle w:val="para1"/>
        <w:rPr>
          <w:lang w:val="en-IE"/>
        </w:rPr>
      </w:pPr>
      <w:r w:rsidRPr="007E51E0">
        <w:rPr>
          <w:lang w:val="en-IE"/>
        </w:rPr>
        <w:t xml:space="preserve">Potency testing is performed in guinea-pigs and horses. The animals are sensitised by subcutaneous inoculation with a concentrated suspension of heat-killed </w:t>
      </w:r>
      <w:r w:rsidRPr="007E51E0">
        <w:rPr>
          <w:i/>
          <w:lang w:val="en-IE"/>
        </w:rPr>
        <w:t>B. mallei</w:t>
      </w:r>
      <w:r w:rsidRPr="007E51E0">
        <w:rPr>
          <w:lang w:val="en-IE"/>
        </w:rPr>
        <w:t xml:space="preserve"> in paraffin oil adjuvant. Cattle can also be used instead of horses. The production batch is bio-assayed against a standard </w:t>
      </w:r>
      <w:proofErr w:type="spellStart"/>
      <w:r w:rsidRPr="007E51E0">
        <w:rPr>
          <w:lang w:val="en-IE"/>
        </w:rPr>
        <w:t>mallein</w:t>
      </w:r>
      <w:proofErr w:type="spellEnd"/>
      <w:r w:rsidRPr="007E51E0">
        <w:rPr>
          <w:lang w:val="en-IE"/>
        </w:rPr>
        <w:t xml:space="preserve"> PPD by intradermal injection in 0.1 ml doses in such a way that complete randomisation is obtained.</w:t>
      </w:r>
    </w:p>
    <w:p w14:paraId="3B4402BD" w14:textId="77777777" w:rsidR="007E56A8" w:rsidRPr="007E51E0" w:rsidRDefault="007E56A8" w:rsidP="00DC6436">
      <w:pPr>
        <w:pStyle w:val="para1"/>
        <w:spacing w:after="480"/>
        <w:rPr>
          <w:lang w:val="en-IE"/>
        </w:rPr>
      </w:pPr>
      <w:r w:rsidRPr="007E51E0">
        <w:rPr>
          <w:lang w:val="en-IE"/>
        </w:rPr>
        <w:t>In guinea-pigs, the different areas of erythema are measured after 24 hours, and in horses the increase in skin thickness is measured with callipers. The results are statistically evaluated, using standard statistical methods for parallel-line assays.</w:t>
      </w:r>
    </w:p>
    <w:p w14:paraId="53373A41" w14:textId="75CA776E" w:rsidR="007E56A8" w:rsidRPr="007E51E0" w:rsidRDefault="007E56A8" w:rsidP="00C63272">
      <w:pPr>
        <w:pStyle w:val="A0"/>
        <w:rPr>
          <w:sz w:val="22"/>
          <w:lang w:val="en-IE"/>
        </w:rPr>
      </w:pPr>
      <w:r w:rsidRPr="007E51E0">
        <w:rPr>
          <w:sz w:val="22"/>
          <w:lang w:val="en-IE"/>
        </w:rPr>
        <w:t>REFERENCES</w:t>
      </w:r>
    </w:p>
    <w:p w14:paraId="317AFB54" w14:textId="77777777" w:rsidR="007E56A8" w:rsidRPr="007E51E0" w:rsidRDefault="007E56A8" w:rsidP="00945E84">
      <w:pPr>
        <w:pStyle w:val="Ref"/>
        <w:tabs>
          <w:tab w:val="clear" w:pos="-720"/>
          <w:tab w:val="left" w:pos="1384"/>
        </w:tabs>
        <w:rPr>
          <w:lang w:val="en-IE"/>
        </w:rPr>
      </w:pPr>
      <w:proofErr w:type="spellStart"/>
      <w:r w:rsidRPr="007E51E0">
        <w:rPr>
          <w:smallCaps/>
          <w:lang w:val="en-IE"/>
        </w:rPr>
        <w:lastRenderedPageBreak/>
        <w:t>Chantratita</w:t>
      </w:r>
      <w:proofErr w:type="spellEnd"/>
      <w:r w:rsidRPr="007E51E0">
        <w:rPr>
          <w:smallCaps/>
          <w:lang w:val="en-IE"/>
        </w:rPr>
        <w:t xml:space="preserve"> N., </w:t>
      </w:r>
      <w:proofErr w:type="spellStart"/>
      <w:r w:rsidRPr="007E51E0">
        <w:rPr>
          <w:smallCaps/>
          <w:lang w:val="en-IE"/>
        </w:rPr>
        <w:t>Vesaratchavest</w:t>
      </w:r>
      <w:proofErr w:type="spellEnd"/>
      <w:r w:rsidRPr="007E51E0">
        <w:rPr>
          <w:smallCaps/>
          <w:lang w:val="en-IE"/>
        </w:rPr>
        <w:t xml:space="preserve"> M., </w:t>
      </w:r>
      <w:proofErr w:type="spellStart"/>
      <w:r w:rsidRPr="007E51E0">
        <w:rPr>
          <w:smallCaps/>
          <w:lang w:val="en-IE"/>
        </w:rPr>
        <w:t>Wuthiekanun</w:t>
      </w:r>
      <w:proofErr w:type="spellEnd"/>
      <w:r w:rsidRPr="007E51E0">
        <w:rPr>
          <w:smallCaps/>
          <w:lang w:val="en-IE"/>
        </w:rPr>
        <w:t xml:space="preserve"> V., </w:t>
      </w:r>
      <w:proofErr w:type="spellStart"/>
      <w:r w:rsidRPr="007E51E0">
        <w:rPr>
          <w:smallCaps/>
          <w:lang w:val="en-IE"/>
        </w:rPr>
        <w:t>Tiyawisutsri</w:t>
      </w:r>
      <w:proofErr w:type="spellEnd"/>
      <w:r w:rsidRPr="007E51E0">
        <w:rPr>
          <w:smallCaps/>
          <w:lang w:val="en-IE"/>
        </w:rPr>
        <w:t xml:space="preserve"> R., </w:t>
      </w:r>
      <w:proofErr w:type="spellStart"/>
      <w:r w:rsidRPr="007E51E0">
        <w:rPr>
          <w:smallCaps/>
          <w:lang w:val="en-IE"/>
        </w:rPr>
        <w:t>Ulziitogtokh</w:t>
      </w:r>
      <w:proofErr w:type="spellEnd"/>
      <w:r w:rsidRPr="007E51E0">
        <w:rPr>
          <w:smallCaps/>
          <w:lang w:val="en-IE"/>
        </w:rPr>
        <w:t xml:space="preserve"> T., Akcay E., Day N.P. &amp; Peacock S.J</w:t>
      </w:r>
      <w:r w:rsidRPr="007E51E0">
        <w:rPr>
          <w:lang w:val="en-IE"/>
        </w:rPr>
        <w:t xml:space="preserve">. (2006). Pulsed-field gel electrophoresis as a discriminatory typing technique for the biothreat agent </w:t>
      </w:r>
      <w:proofErr w:type="spellStart"/>
      <w:r w:rsidRPr="007E51E0">
        <w:rPr>
          <w:i/>
          <w:lang w:val="en-IE"/>
        </w:rPr>
        <w:t>Burkholderia</w:t>
      </w:r>
      <w:proofErr w:type="spellEnd"/>
      <w:r w:rsidRPr="007E51E0">
        <w:rPr>
          <w:i/>
          <w:lang w:val="en-IE"/>
        </w:rPr>
        <w:t xml:space="preserve"> mallei</w:t>
      </w:r>
      <w:r w:rsidRPr="007E51E0">
        <w:rPr>
          <w:lang w:val="en-IE"/>
        </w:rPr>
        <w:t xml:space="preserve">. </w:t>
      </w:r>
      <w:r w:rsidRPr="007E51E0">
        <w:rPr>
          <w:i/>
          <w:lang w:val="en-IE"/>
        </w:rPr>
        <w:t xml:space="preserve">Am. J. Trop. Med. </w:t>
      </w:r>
      <w:proofErr w:type="spellStart"/>
      <w:r w:rsidRPr="007E51E0">
        <w:rPr>
          <w:i/>
          <w:lang w:val="en-IE"/>
        </w:rPr>
        <w:t>Hyg</w:t>
      </w:r>
      <w:proofErr w:type="spellEnd"/>
      <w:r w:rsidRPr="007E51E0">
        <w:rPr>
          <w:i/>
          <w:lang w:val="en-IE"/>
        </w:rPr>
        <w:t>.</w:t>
      </w:r>
      <w:r w:rsidRPr="007E51E0">
        <w:rPr>
          <w:lang w:val="en-IE"/>
        </w:rPr>
        <w:t xml:space="preserve">, </w:t>
      </w:r>
      <w:r w:rsidRPr="007E51E0">
        <w:rPr>
          <w:b/>
          <w:lang w:val="en-IE"/>
        </w:rPr>
        <w:t>74</w:t>
      </w:r>
      <w:r w:rsidRPr="007E51E0">
        <w:rPr>
          <w:lang w:val="en-IE"/>
        </w:rPr>
        <w:t>, 345–347.</w:t>
      </w:r>
    </w:p>
    <w:p w14:paraId="382CB286" w14:textId="0DB4B165" w:rsidR="00404D7A" w:rsidRPr="007E51E0" w:rsidRDefault="00404D7A" w:rsidP="00945E84">
      <w:pPr>
        <w:pStyle w:val="Ref"/>
        <w:rPr>
          <w:lang w:val="en-IE"/>
        </w:rPr>
      </w:pPr>
      <w:r w:rsidRPr="007E51E0">
        <w:rPr>
          <w:smallCaps/>
          <w:lang w:val="en-IE"/>
        </w:rPr>
        <w:t>Cunningham S</w:t>
      </w:r>
      <w:r w:rsidR="00377987" w:rsidRPr="007E51E0">
        <w:rPr>
          <w:smallCaps/>
          <w:lang w:val="en-IE"/>
        </w:rPr>
        <w:t>.</w:t>
      </w:r>
      <w:r w:rsidRPr="007E51E0">
        <w:rPr>
          <w:smallCaps/>
          <w:lang w:val="en-IE"/>
        </w:rPr>
        <w:t>A</w:t>
      </w:r>
      <w:r w:rsidR="00377987" w:rsidRPr="007E51E0">
        <w:rPr>
          <w:smallCaps/>
          <w:lang w:val="en-IE"/>
        </w:rPr>
        <w:t>. &amp;</w:t>
      </w:r>
      <w:r w:rsidRPr="007E51E0">
        <w:rPr>
          <w:smallCaps/>
          <w:lang w:val="en-IE"/>
        </w:rPr>
        <w:t xml:space="preserve"> Patel R.</w:t>
      </w:r>
      <w:r w:rsidRPr="007E51E0">
        <w:rPr>
          <w:lang w:val="en-IE"/>
        </w:rPr>
        <w:t xml:space="preserve"> (201</w:t>
      </w:r>
      <w:r w:rsidR="00377987" w:rsidRPr="007E51E0">
        <w:rPr>
          <w:lang w:val="en-IE"/>
        </w:rPr>
        <w:t>3</w:t>
      </w:r>
      <w:r w:rsidRPr="007E51E0">
        <w:rPr>
          <w:lang w:val="en-IE"/>
        </w:rPr>
        <w:t>). Importance of using Bruker</w:t>
      </w:r>
      <w:r w:rsidR="00377987" w:rsidRPr="007E51E0">
        <w:rPr>
          <w:lang w:val="en-IE"/>
        </w:rPr>
        <w:t>’</w:t>
      </w:r>
      <w:r w:rsidRPr="007E51E0">
        <w:rPr>
          <w:lang w:val="en-IE"/>
        </w:rPr>
        <w:t xml:space="preserve">s security-relevant library for </w:t>
      </w:r>
      <w:proofErr w:type="spellStart"/>
      <w:r w:rsidRPr="007E51E0">
        <w:rPr>
          <w:lang w:val="en-IE"/>
        </w:rPr>
        <w:t>Biotyper</w:t>
      </w:r>
      <w:proofErr w:type="spellEnd"/>
      <w:r w:rsidRPr="007E51E0">
        <w:rPr>
          <w:lang w:val="en-IE"/>
        </w:rPr>
        <w:t xml:space="preserve"> identification of </w:t>
      </w:r>
      <w:proofErr w:type="spellStart"/>
      <w:r w:rsidRPr="007E51E0">
        <w:rPr>
          <w:i/>
          <w:lang w:val="en-IE"/>
        </w:rPr>
        <w:t>Burkholderia</w:t>
      </w:r>
      <w:proofErr w:type="spellEnd"/>
      <w:r w:rsidRPr="007E51E0">
        <w:rPr>
          <w:i/>
          <w:lang w:val="en-IE"/>
        </w:rPr>
        <w:t xml:space="preserve"> </w:t>
      </w:r>
      <w:proofErr w:type="spellStart"/>
      <w:r w:rsidRPr="007E51E0">
        <w:rPr>
          <w:i/>
          <w:lang w:val="en-IE"/>
        </w:rPr>
        <w:t>pseudomallei</w:t>
      </w:r>
      <w:proofErr w:type="spellEnd"/>
      <w:r w:rsidRPr="007E51E0">
        <w:rPr>
          <w:i/>
          <w:lang w:val="en-IE"/>
        </w:rPr>
        <w:t>, Brucella</w:t>
      </w:r>
      <w:r w:rsidRPr="007E51E0">
        <w:rPr>
          <w:lang w:val="en-IE"/>
        </w:rPr>
        <w:t xml:space="preserve"> species, and </w:t>
      </w:r>
      <w:proofErr w:type="spellStart"/>
      <w:r w:rsidRPr="007E51E0">
        <w:rPr>
          <w:i/>
          <w:lang w:val="en-IE"/>
        </w:rPr>
        <w:t>Francisella</w:t>
      </w:r>
      <w:proofErr w:type="spellEnd"/>
      <w:r w:rsidRPr="007E51E0">
        <w:rPr>
          <w:i/>
          <w:lang w:val="en-IE"/>
        </w:rPr>
        <w:t xml:space="preserve"> </w:t>
      </w:r>
      <w:proofErr w:type="spellStart"/>
      <w:r w:rsidRPr="007E51E0">
        <w:rPr>
          <w:i/>
          <w:lang w:val="en-IE"/>
        </w:rPr>
        <w:t>tularensis</w:t>
      </w:r>
      <w:proofErr w:type="spellEnd"/>
      <w:r w:rsidRPr="007E51E0">
        <w:rPr>
          <w:lang w:val="en-IE"/>
        </w:rPr>
        <w:t xml:space="preserve">. </w:t>
      </w:r>
      <w:r w:rsidRPr="007E51E0">
        <w:rPr>
          <w:i/>
          <w:lang w:val="en-IE"/>
        </w:rPr>
        <w:t>J</w:t>
      </w:r>
      <w:r w:rsidR="00377987" w:rsidRPr="007E51E0">
        <w:rPr>
          <w:i/>
          <w:lang w:val="en-IE"/>
        </w:rPr>
        <w:t>.</w:t>
      </w:r>
      <w:r w:rsidRPr="007E51E0">
        <w:rPr>
          <w:i/>
          <w:lang w:val="en-IE"/>
        </w:rPr>
        <w:t xml:space="preserve"> Clin</w:t>
      </w:r>
      <w:r w:rsidR="00377987" w:rsidRPr="007E51E0">
        <w:rPr>
          <w:i/>
          <w:lang w:val="en-IE"/>
        </w:rPr>
        <w:t>.</w:t>
      </w:r>
      <w:r w:rsidRPr="007E51E0">
        <w:rPr>
          <w:i/>
          <w:lang w:val="en-IE"/>
        </w:rPr>
        <w:t xml:space="preserve"> </w:t>
      </w:r>
      <w:proofErr w:type="spellStart"/>
      <w:r w:rsidRPr="007E51E0">
        <w:rPr>
          <w:i/>
          <w:lang w:val="en-IE"/>
        </w:rPr>
        <w:t>Microbiol</w:t>
      </w:r>
      <w:proofErr w:type="spellEnd"/>
      <w:r w:rsidRPr="007E51E0">
        <w:rPr>
          <w:i/>
          <w:lang w:val="en-IE"/>
        </w:rPr>
        <w:t>.</w:t>
      </w:r>
      <w:r w:rsidR="00377987" w:rsidRPr="007E51E0">
        <w:rPr>
          <w:lang w:val="en-IE"/>
        </w:rPr>
        <w:t xml:space="preserve">, </w:t>
      </w:r>
      <w:r w:rsidRPr="007E51E0">
        <w:rPr>
          <w:b/>
          <w:lang w:val="en-IE"/>
        </w:rPr>
        <w:t>51</w:t>
      </w:r>
      <w:r w:rsidR="00377987" w:rsidRPr="007E51E0">
        <w:rPr>
          <w:lang w:val="en-IE"/>
        </w:rPr>
        <w:t xml:space="preserve">, </w:t>
      </w:r>
      <w:r w:rsidRPr="007E51E0">
        <w:rPr>
          <w:lang w:val="en-IE"/>
        </w:rPr>
        <w:t>1639</w:t>
      </w:r>
      <w:r w:rsidR="00377987" w:rsidRPr="007E51E0">
        <w:rPr>
          <w:lang w:val="en-IE"/>
        </w:rPr>
        <w:t>–16</w:t>
      </w:r>
      <w:r w:rsidRPr="007E51E0">
        <w:rPr>
          <w:lang w:val="en-IE"/>
        </w:rPr>
        <w:t>40.</w:t>
      </w:r>
    </w:p>
    <w:p w14:paraId="10836BC0" w14:textId="6AC50323" w:rsidR="00377987" w:rsidRPr="007E51E0" w:rsidRDefault="00377987" w:rsidP="00945E84">
      <w:pPr>
        <w:pStyle w:val="Ref"/>
        <w:rPr>
          <w:lang w:val="en-IE"/>
        </w:rPr>
      </w:pPr>
      <w:r w:rsidRPr="007E51E0">
        <w:rPr>
          <w:smallCaps/>
          <w:lang w:val="en-IE"/>
        </w:rPr>
        <w:t>Currie</w:t>
      </w:r>
      <w:r w:rsidRPr="007E51E0">
        <w:rPr>
          <w:lang w:val="en-IE"/>
        </w:rPr>
        <w:t xml:space="preserve"> B.J. (2015). Melioidosis: evolving concepts in epidemiology, pathogenesis, and treatment. </w:t>
      </w:r>
      <w:r w:rsidRPr="007E51E0">
        <w:rPr>
          <w:i/>
          <w:lang w:val="en-IE"/>
        </w:rPr>
        <w:t>Semin. Respir. Crit. Care Med</w:t>
      </w:r>
      <w:r w:rsidRPr="007E51E0">
        <w:rPr>
          <w:lang w:val="en-IE"/>
        </w:rPr>
        <w:t xml:space="preserve">., </w:t>
      </w:r>
      <w:r w:rsidRPr="007E51E0">
        <w:rPr>
          <w:b/>
          <w:lang w:val="en-IE"/>
        </w:rPr>
        <w:t>36</w:t>
      </w:r>
      <w:r w:rsidRPr="007E51E0">
        <w:rPr>
          <w:lang w:val="en-IE"/>
        </w:rPr>
        <w:t>, 111–1125.</w:t>
      </w:r>
    </w:p>
    <w:p w14:paraId="33397FEB" w14:textId="273EAD6B" w:rsidR="00377987" w:rsidRPr="00075E7C" w:rsidRDefault="00CD4D43" w:rsidP="00945E84">
      <w:pPr>
        <w:pStyle w:val="Ref"/>
        <w:rPr>
          <w:lang w:val="en-IE"/>
        </w:rPr>
      </w:pPr>
      <w:r w:rsidRPr="007E51E0">
        <w:rPr>
          <w:smallCaps/>
          <w:lang w:val="en-IE"/>
        </w:rPr>
        <w:t xml:space="preserve">Currie B.J., Haslem A., Pearson T., Hornstra H., </w:t>
      </w:r>
      <w:proofErr w:type="spellStart"/>
      <w:r w:rsidRPr="007E51E0">
        <w:rPr>
          <w:smallCaps/>
          <w:lang w:val="en-IE"/>
        </w:rPr>
        <w:t>Leadem</w:t>
      </w:r>
      <w:proofErr w:type="spellEnd"/>
      <w:r w:rsidRPr="007E51E0">
        <w:rPr>
          <w:smallCaps/>
          <w:lang w:val="en-IE"/>
        </w:rPr>
        <w:t xml:space="preserve"> B., Mayo M., Gal D., Ward L.,</w:t>
      </w:r>
      <w:r w:rsidR="001765E7">
        <w:rPr>
          <w:smallCaps/>
          <w:lang w:val="en-IE"/>
        </w:rPr>
        <w:t xml:space="preserve"> </w:t>
      </w:r>
      <w:r w:rsidRPr="007E51E0">
        <w:rPr>
          <w:smallCaps/>
          <w:lang w:val="en-IE"/>
        </w:rPr>
        <w:t>Godoy D., Spratt B.G., Keim P.</w:t>
      </w:r>
      <w:r w:rsidR="00377987" w:rsidRPr="007E51E0">
        <w:rPr>
          <w:lang w:val="en-IE"/>
        </w:rPr>
        <w:t xml:space="preserve"> (2009).</w:t>
      </w:r>
      <w:r w:rsidRPr="007E51E0">
        <w:rPr>
          <w:lang w:val="en-IE"/>
        </w:rPr>
        <w:t xml:space="preserve"> Identification of melioidosis outbreak by </w:t>
      </w:r>
      <w:proofErr w:type="spellStart"/>
      <w:r w:rsidRPr="007E51E0">
        <w:rPr>
          <w:lang w:val="en-IE"/>
        </w:rPr>
        <w:t>multilocus</w:t>
      </w:r>
      <w:proofErr w:type="spellEnd"/>
      <w:r w:rsidRPr="007E51E0">
        <w:rPr>
          <w:lang w:val="en-IE"/>
        </w:rPr>
        <w:t xml:space="preserve"> variable number tandem repeat analysis. </w:t>
      </w:r>
      <w:r w:rsidRPr="00075E7C">
        <w:rPr>
          <w:i/>
          <w:lang w:val="en-IE"/>
        </w:rPr>
        <w:t>Emerg Infect Dis</w:t>
      </w:r>
      <w:r w:rsidRPr="00075E7C">
        <w:rPr>
          <w:lang w:val="en-IE"/>
        </w:rPr>
        <w:t>.</w:t>
      </w:r>
      <w:r w:rsidR="00377987" w:rsidRPr="00075E7C">
        <w:rPr>
          <w:lang w:val="en-IE"/>
        </w:rPr>
        <w:t>,</w:t>
      </w:r>
      <w:r w:rsidRPr="00075E7C">
        <w:rPr>
          <w:lang w:val="en-IE"/>
        </w:rPr>
        <w:t xml:space="preserve"> </w:t>
      </w:r>
      <w:r w:rsidRPr="00075E7C">
        <w:rPr>
          <w:b/>
          <w:lang w:val="en-IE"/>
        </w:rPr>
        <w:t>15</w:t>
      </w:r>
      <w:r w:rsidR="00377987" w:rsidRPr="00075E7C">
        <w:rPr>
          <w:lang w:val="en-IE"/>
        </w:rPr>
        <w:t xml:space="preserve">, </w:t>
      </w:r>
      <w:r w:rsidRPr="00075E7C">
        <w:rPr>
          <w:lang w:val="en-IE"/>
        </w:rPr>
        <w:t>169</w:t>
      </w:r>
      <w:r w:rsidR="00377987" w:rsidRPr="00075E7C">
        <w:rPr>
          <w:lang w:val="en-IE"/>
        </w:rPr>
        <w:t>–1</w:t>
      </w:r>
      <w:r w:rsidRPr="00075E7C">
        <w:rPr>
          <w:lang w:val="en-IE"/>
        </w:rPr>
        <w:t xml:space="preserve">74. </w:t>
      </w:r>
    </w:p>
    <w:p w14:paraId="3E6C815D" w14:textId="77777777" w:rsidR="00075E7C" w:rsidRPr="003A3C68" w:rsidRDefault="00075E7C" w:rsidP="00075E7C">
      <w:pPr>
        <w:pStyle w:val="Ref"/>
        <w:rPr>
          <w:lang w:val="fr-FR"/>
        </w:rPr>
      </w:pPr>
      <w:r w:rsidRPr="00075E7C">
        <w:rPr>
          <w:smallCaps/>
        </w:rPr>
        <w:t xml:space="preserve">Dance D.A., </w:t>
      </w:r>
      <w:proofErr w:type="spellStart"/>
      <w:r w:rsidRPr="00075E7C">
        <w:rPr>
          <w:smallCaps/>
        </w:rPr>
        <w:t>Wuthiekanun</w:t>
      </w:r>
      <w:proofErr w:type="spellEnd"/>
      <w:r w:rsidRPr="00075E7C">
        <w:rPr>
          <w:smallCaps/>
        </w:rPr>
        <w:t xml:space="preserve"> V., </w:t>
      </w:r>
      <w:proofErr w:type="spellStart"/>
      <w:r w:rsidRPr="00075E7C">
        <w:rPr>
          <w:smallCaps/>
        </w:rPr>
        <w:t>Naigowit</w:t>
      </w:r>
      <w:proofErr w:type="spellEnd"/>
      <w:r w:rsidRPr="00075E7C">
        <w:rPr>
          <w:smallCaps/>
        </w:rPr>
        <w:t xml:space="preserve"> P. &amp; White N.J</w:t>
      </w:r>
      <w:r w:rsidRPr="00075E7C">
        <w:t xml:space="preserve">. (1989). Identification of </w:t>
      </w:r>
      <w:r w:rsidRPr="00075E7C">
        <w:rPr>
          <w:i/>
        </w:rPr>
        <w:t xml:space="preserve">Pseudomonas </w:t>
      </w:r>
      <w:proofErr w:type="spellStart"/>
      <w:r w:rsidRPr="00075E7C">
        <w:rPr>
          <w:i/>
        </w:rPr>
        <w:t>pseudomallei</w:t>
      </w:r>
      <w:proofErr w:type="spellEnd"/>
      <w:r w:rsidRPr="00075E7C">
        <w:t xml:space="preserve"> in clinical practice: use of simple screening tests and API 20NE. </w:t>
      </w:r>
      <w:r w:rsidRPr="003A3C68">
        <w:rPr>
          <w:rStyle w:val="jrnl"/>
          <w:i/>
          <w:lang w:val="fr-FR"/>
        </w:rPr>
        <w:t xml:space="preserve">J. Clin. </w:t>
      </w:r>
      <w:proofErr w:type="spellStart"/>
      <w:r w:rsidRPr="003A3C68">
        <w:rPr>
          <w:rStyle w:val="jrnl"/>
          <w:i/>
          <w:lang w:val="fr-FR"/>
        </w:rPr>
        <w:t>Pathol</w:t>
      </w:r>
      <w:proofErr w:type="spellEnd"/>
      <w:r w:rsidRPr="003A3C68">
        <w:rPr>
          <w:i/>
          <w:lang w:val="fr-FR"/>
        </w:rPr>
        <w:t>.,</w:t>
      </w:r>
      <w:r w:rsidRPr="003A3C68">
        <w:rPr>
          <w:lang w:val="fr-FR"/>
        </w:rPr>
        <w:t xml:space="preserve"> </w:t>
      </w:r>
      <w:r w:rsidRPr="003A3C68">
        <w:rPr>
          <w:b/>
          <w:lang w:val="fr-FR"/>
        </w:rPr>
        <w:t>42</w:t>
      </w:r>
      <w:r w:rsidRPr="003A3C68">
        <w:rPr>
          <w:lang w:val="fr-FR"/>
        </w:rPr>
        <w:t>, 645–648.</w:t>
      </w:r>
    </w:p>
    <w:p w14:paraId="13C4DB31" w14:textId="36352625" w:rsidR="00F00061" w:rsidRPr="00C07D76" w:rsidRDefault="00F00061" w:rsidP="00945E84">
      <w:pPr>
        <w:pStyle w:val="Ref"/>
        <w:rPr>
          <w:lang w:val="de-DE" w:eastAsia="de-DE"/>
        </w:rPr>
      </w:pPr>
      <w:proofErr w:type="spellStart"/>
      <w:r w:rsidRPr="007E51E0">
        <w:rPr>
          <w:smallCaps/>
          <w:lang w:val="fr-FR" w:eastAsia="de-DE"/>
        </w:rPr>
        <w:t>Dodin</w:t>
      </w:r>
      <w:proofErr w:type="spellEnd"/>
      <w:r w:rsidRPr="007E51E0">
        <w:rPr>
          <w:lang w:val="fr-FR" w:eastAsia="de-DE"/>
        </w:rPr>
        <w:t xml:space="preserve"> A. (1992). Naissance, vie... et assoupissement d’une maladie infectieuse: la </w:t>
      </w:r>
      <w:proofErr w:type="spellStart"/>
      <w:r w:rsidRPr="007E51E0">
        <w:rPr>
          <w:lang w:val="fr-FR" w:eastAsia="de-DE"/>
        </w:rPr>
        <w:t>melioidose</w:t>
      </w:r>
      <w:proofErr w:type="spellEnd"/>
      <w:r w:rsidRPr="007E51E0">
        <w:rPr>
          <w:lang w:val="fr-FR" w:eastAsia="de-DE"/>
        </w:rPr>
        <w:t xml:space="preserve">. </w:t>
      </w:r>
      <w:r w:rsidRPr="00C07D76">
        <w:rPr>
          <w:i/>
          <w:lang w:val="de-DE" w:eastAsia="de-DE"/>
        </w:rPr>
        <w:t xml:space="preserve">Ann. </w:t>
      </w:r>
      <w:proofErr w:type="spellStart"/>
      <w:r w:rsidRPr="00C07D76">
        <w:rPr>
          <w:i/>
          <w:lang w:val="de-DE" w:eastAsia="de-DE"/>
        </w:rPr>
        <w:t>Inst</w:t>
      </w:r>
      <w:proofErr w:type="spellEnd"/>
      <w:r w:rsidRPr="00C07D76">
        <w:rPr>
          <w:i/>
          <w:lang w:val="de-DE" w:eastAsia="de-DE"/>
        </w:rPr>
        <w:t>. Pasteur</w:t>
      </w:r>
      <w:r w:rsidR="001765E7" w:rsidRPr="00C07D76">
        <w:rPr>
          <w:i/>
          <w:lang w:val="de-DE" w:eastAsia="de-DE"/>
        </w:rPr>
        <w:t>,</w:t>
      </w:r>
      <w:r w:rsidRPr="00C07D76">
        <w:rPr>
          <w:lang w:val="de-DE" w:eastAsia="de-DE"/>
        </w:rPr>
        <w:t xml:space="preserve"> </w:t>
      </w:r>
      <w:r w:rsidRPr="00C07D76">
        <w:rPr>
          <w:b/>
          <w:lang w:val="de-DE" w:eastAsia="de-DE"/>
        </w:rPr>
        <w:t>3</w:t>
      </w:r>
      <w:r w:rsidRPr="00C07D76">
        <w:rPr>
          <w:lang w:val="de-DE" w:eastAsia="de-DE"/>
        </w:rPr>
        <w:t>, 267–270.</w:t>
      </w:r>
    </w:p>
    <w:p w14:paraId="7068E1ED" w14:textId="008F4954" w:rsidR="00933299" w:rsidRPr="00433A2C" w:rsidRDefault="00933299" w:rsidP="00433A2C">
      <w:pPr>
        <w:pStyle w:val="Ref"/>
        <w:rPr>
          <w:u w:val="double"/>
        </w:rPr>
      </w:pPr>
      <w:bookmarkStart w:id="3" w:name="_Hlk82591926"/>
      <w:r w:rsidRPr="00B222CB">
        <w:rPr>
          <w:smallCaps/>
          <w:u w:val="double"/>
          <w:lang w:val="de-DE"/>
        </w:rPr>
        <w:t xml:space="preserve">Elschner M.C., Melzer F., </w:t>
      </w:r>
      <w:proofErr w:type="spellStart"/>
      <w:r w:rsidRPr="00B222CB">
        <w:rPr>
          <w:smallCaps/>
          <w:u w:val="double"/>
          <w:lang w:val="de-DE"/>
        </w:rPr>
        <w:t>Singha</w:t>
      </w:r>
      <w:proofErr w:type="spellEnd"/>
      <w:r w:rsidRPr="00B222CB">
        <w:rPr>
          <w:smallCaps/>
          <w:u w:val="double"/>
          <w:lang w:val="de-DE"/>
        </w:rPr>
        <w:t xml:space="preserve"> H., Muhammad S., Gardner I. &amp; Neubauer H.</w:t>
      </w:r>
      <w:r w:rsidRPr="00B222CB">
        <w:rPr>
          <w:u w:val="double"/>
          <w:lang w:val="de-DE"/>
        </w:rPr>
        <w:t xml:space="preserve"> (2021). </w:t>
      </w:r>
      <w:r w:rsidRPr="00B222CB">
        <w:rPr>
          <w:u w:val="double"/>
        </w:rPr>
        <w:t xml:space="preserve">Validation of a Commercial Glanders ELISA as an Alternative to the CFT in International Trade of Equidae. </w:t>
      </w:r>
      <w:r w:rsidRPr="00B222CB">
        <w:rPr>
          <w:i/>
          <w:iCs/>
          <w:u w:val="double"/>
        </w:rPr>
        <w:t>Front. Vet. Sci.,</w:t>
      </w:r>
      <w:r w:rsidRPr="00B222CB">
        <w:rPr>
          <w:u w:val="double"/>
        </w:rPr>
        <w:t xml:space="preserve"> </w:t>
      </w:r>
      <w:r w:rsidRPr="00B222CB">
        <w:rPr>
          <w:b/>
          <w:bCs/>
          <w:u w:val="double"/>
        </w:rPr>
        <w:t>8</w:t>
      </w:r>
      <w:r w:rsidRPr="00B222CB">
        <w:rPr>
          <w:u w:val="double"/>
        </w:rPr>
        <w:t>,</w:t>
      </w:r>
      <w:r w:rsidR="00433A2C" w:rsidRPr="00B222CB">
        <w:rPr>
          <w:u w:val="double"/>
        </w:rPr>
        <w:t xml:space="preserve"> 628389. doi:10.3389/fvets.2021.628389</w:t>
      </w:r>
      <w:bookmarkEnd w:id="3"/>
      <w:r w:rsidR="00433A2C" w:rsidRPr="00B222CB">
        <w:rPr>
          <w:u w:val="double"/>
        </w:rPr>
        <w:t>.</w:t>
      </w:r>
    </w:p>
    <w:p w14:paraId="56088C06" w14:textId="57444070" w:rsidR="007E56A8" w:rsidRPr="007E51E0" w:rsidRDefault="007E56A8" w:rsidP="00945E84">
      <w:pPr>
        <w:pStyle w:val="Ref"/>
        <w:tabs>
          <w:tab w:val="clear" w:pos="-720"/>
          <w:tab w:val="left" w:pos="1384"/>
        </w:tabs>
        <w:rPr>
          <w:lang w:val="en-IE"/>
        </w:rPr>
      </w:pPr>
      <w:r w:rsidRPr="00433A2C">
        <w:rPr>
          <w:smallCaps/>
        </w:rPr>
        <w:t xml:space="preserve">Elschner M.C., Scholz H.C., Melzer F., Saqib M., Marten P., Rassbach A., </w:t>
      </w:r>
      <w:proofErr w:type="spellStart"/>
      <w:r w:rsidRPr="00433A2C">
        <w:rPr>
          <w:smallCaps/>
        </w:rPr>
        <w:t>Dietzsch</w:t>
      </w:r>
      <w:proofErr w:type="spellEnd"/>
      <w:r w:rsidRPr="00433A2C">
        <w:rPr>
          <w:smallCaps/>
        </w:rPr>
        <w:t xml:space="preserve"> M., Schmoock G., de Assis Santana V.L., de Souza M.M., </w:t>
      </w:r>
      <w:proofErr w:type="spellStart"/>
      <w:r w:rsidRPr="00433A2C">
        <w:rPr>
          <w:smallCaps/>
        </w:rPr>
        <w:t>Wernery</w:t>
      </w:r>
      <w:proofErr w:type="spellEnd"/>
      <w:r w:rsidRPr="00433A2C">
        <w:rPr>
          <w:smallCaps/>
        </w:rPr>
        <w:t xml:space="preserve"> R., </w:t>
      </w:r>
      <w:proofErr w:type="spellStart"/>
      <w:r w:rsidRPr="00433A2C">
        <w:rPr>
          <w:smallCaps/>
        </w:rPr>
        <w:t>Wernery</w:t>
      </w:r>
      <w:proofErr w:type="spellEnd"/>
      <w:r w:rsidRPr="00433A2C">
        <w:rPr>
          <w:smallCaps/>
        </w:rPr>
        <w:t xml:space="preserve"> U. &amp; Neubauer H.</w:t>
      </w:r>
      <w:r w:rsidRPr="00433A2C">
        <w:t xml:space="preserve"> (2011). </w:t>
      </w:r>
      <w:r w:rsidRPr="007E51E0">
        <w:rPr>
          <w:lang w:val="en-IE"/>
        </w:rPr>
        <w:t xml:space="preserve">Use of a Western blot technique for the serodiagnosis of glanders. </w:t>
      </w:r>
      <w:r w:rsidRPr="007E51E0">
        <w:rPr>
          <w:i/>
          <w:lang w:val="en-IE"/>
        </w:rPr>
        <w:t>BMC Vet. Res.</w:t>
      </w:r>
      <w:r w:rsidRPr="007E51E0">
        <w:rPr>
          <w:lang w:val="en-IE"/>
        </w:rPr>
        <w:t xml:space="preserve">, </w:t>
      </w:r>
      <w:r w:rsidRPr="007E51E0">
        <w:rPr>
          <w:b/>
          <w:lang w:val="en-IE"/>
        </w:rPr>
        <w:t>7</w:t>
      </w:r>
      <w:r w:rsidRPr="007E51E0">
        <w:rPr>
          <w:lang w:val="en-IE"/>
        </w:rPr>
        <w:t xml:space="preserve">, 4. </w:t>
      </w:r>
    </w:p>
    <w:p w14:paraId="20F09919" w14:textId="2AA5F975" w:rsidR="007E56A8" w:rsidRPr="007E51E0" w:rsidRDefault="007E56A8" w:rsidP="00945E84">
      <w:pPr>
        <w:pStyle w:val="Ref"/>
        <w:tabs>
          <w:tab w:val="clear" w:pos="-720"/>
          <w:tab w:val="left" w:pos="1384"/>
        </w:tabs>
        <w:rPr>
          <w:lang w:val="en-IE"/>
        </w:rPr>
      </w:pPr>
      <w:r w:rsidRPr="007E51E0">
        <w:rPr>
          <w:smallCaps/>
          <w:lang w:val="en-IE"/>
        </w:rPr>
        <w:t>Glass M.B., Beesley C.A., Wilkins P.P. &amp; Hoffmaster A.R.</w:t>
      </w:r>
      <w:r w:rsidRPr="007E51E0">
        <w:rPr>
          <w:lang w:val="en-IE"/>
        </w:rPr>
        <w:t xml:space="preserve"> (2009). Comparison of four selective media for the isolation of </w:t>
      </w:r>
      <w:proofErr w:type="spellStart"/>
      <w:r w:rsidRPr="007E51E0">
        <w:rPr>
          <w:i/>
          <w:lang w:val="en-IE"/>
        </w:rPr>
        <w:t>Burkholderia</w:t>
      </w:r>
      <w:proofErr w:type="spellEnd"/>
      <w:r w:rsidRPr="007E51E0">
        <w:rPr>
          <w:i/>
          <w:lang w:val="en-IE"/>
        </w:rPr>
        <w:t xml:space="preserve"> mallei</w:t>
      </w:r>
      <w:r w:rsidRPr="007E51E0">
        <w:rPr>
          <w:lang w:val="en-IE"/>
        </w:rPr>
        <w:t xml:space="preserve"> and </w:t>
      </w:r>
      <w:proofErr w:type="spellStart"/>
      <w:r w:rsidRPr="007E51E0">
        <w:rPr>
          <w:i/>
          <w:lang w:val="en-IE"/>
        </w:rPr>
        <w:t>Burkholderia</w:t>
      </w:r>
      <w:proofErr w:type="spellEnd"/>
      <w:r w:rsidRPr="007E51E0">
        <w:rPr>
          <w:i/>
          <w:lang w:val="en-IE"/>
        </w:rPr>
        <w:t xml:space="preserve"> </w:t>
      </w:r>
      <w:proofErr w:type="spellStart"/>
      <w:r w:rsidRPr="007E51E0">
        <w:rPr>
          <w:i/>
          <w:lang w:val="en-IE"/>
        </w:rPr>
        <w:t>pseudomallei</w:t>
      </w:r>
      <w:proofErr w:type="spellEnd"/>
      <w:r w:rsidRPr="007E51E0">
        <w:rPr>
          <w:lang w:val="en-IE"/>
        </w:rPr>
        <w:t xml:space="preserve">. </w:t>
      </w:r>
      <w:r w:rsidRPr="007E51E0">
        <w:rPr>
          <w:i/>
          <w:lang w:val="en-IE"/>
        </w:rPr>
        <w:t xml:space="preserve">Am. J. Trop. Med. </w:t>
      </w:r>
      <w:proofErr w:type="spellStart"/>
      <w:r w:rsidRPr="007E51E0">
        <w:rPr>
          <w:i/>
          <w:lang w:val="en-IE"/>
        </w:rPr>
        <w:t>Hyg</w:t>
      </w:r>
      <w:proofErr w:type="spellEnd"/>
      <w:r w:rsidRPr="007E51E0">
        <w:rPr>
          <w:lang w:val="en-IE"/>
        </w:rPr>
        <w:t xml:space="preserve">., </w:t>
      </w:r>
      <w:r w:rsidRPr="007E51E0">
        <w:rPr>
          <w:b/>
          <w:lang w:val="en-IE"/>
        </w:rPr>
        <w:t>80</w:t>
      </w:r>
      <w:r w:rsidRPr="007E51E0">
        <w:rPr>
          <w:lang w:val="en-IE"/>
        </w:rPr>
        <w:t xml:space="preserve">, 1023–1028. </w:t>
      </w:r>
    </w:p>
    <w:p w14:paraId="492E2288" w14:textId="77777777" w:rsidR="007E56A8" w:rsidRPr="007E51E0" w:rsidRDefault="007E56A8" w:rsidP="00945E84">
      <w:pPr>
        <w:pStyle w:val="Ref"/>
        <w:tabs>
          <w:tab w:val="clear" w:pos="-720"/>
          <w:tab w:val="left" w:pos="1384"/>
        </w:tabs>
        <w:rPr>
          <w:lang w:val="en-IE"/>
        </w:rPr>
      </w:pPr>
      <w:r w:rsidRPr="007E51E0">
        <w:rPr>
          <w:smallCaps/>
          <w:lang w:val="en-IE"/>
        </w:rPr>
        <w:t>Glass M.B. &amp; Popovic T.</w:t>
      </w:r>
      <w:r w:rsidRPr="007E51E0">
        <w:rPr>
          <w:lang w:val="en-IE"/>
        </w:rPr>
        <w:t xml:space="preserve"> (2005). Preliminary evaluation of the API 20NE and </w:t>
      </w:r>
      <w:proofErr w:type="spellStart"/>
      <w:r w:rsidRPr="007E51E0">
        <w:rPr>
          <w:lang w:val="en-IE"/>
        </w:rPr>
        <w:t>RapID</w:t>
      </w:r>
      <w:proofErr w:type="spellEnd"/>
      <w:r w:rsidRPr="007E51E0">
        <w:rPr>
          <w:lang w:val="en-IE"/>
        </w:rPr>
        <w:t xml:space="preserve"> NF plus systems for rapid identification of </w:t>
      </w:r>
      <w:proofErr w:type="spellStart"/>
      <w:r w:rsidRPr="007E51E0">
        <w:rPr>
          <w:i/>
          <w:lang w:val="en-IE"/>
        </w:rPr>
        <w:t>Burkholderia</w:t>
      </w:r>
      <w:proofErr w:type="spellEnd"/>
      <w:r w:rsidRPr="007E51E0">
        <w:rPr>
          <w:i/>
          <w:lang w:val="en-IE"/>
        </w:rPr>
        <w:t xml:space="preserve"> </w:t>
      </w:r>
      <w:proofErr w:type="spellStart"/>
      <w:r w:rsidRPr="007E51E0">
        <w:rPr>
          <w:i/>
          <w:lang w:val="en-IE"/>
        </w:rPr>
        <w:t>pseudomallei</w:t>
      </w:r>
      <w:proofErr w:type="spellEnd"/>
      <w:r w:rsidRPr="007E51E0">
        <w:rPr>
          <w:lang w:val="en-IE"/>
        </w:rPr>
        <w:t xml:space="preserve"> and </w:t>
      </w:r>
      <w:r w:rsidRPr="007E51E0">
        <w:rPr>
          <w:i/>
          <w:lang w:val="en-IE"/>
        </w:rPr>
        <w:t>B. mallei</w:t>
      </w:r>
      <w:r w:rsidRPr="007E51E0">
        <w:rPr>
          <w:lang w:val="en-IE"/>
        </w:rPr>
        <w:t xml:space="preserve">. </w:t>
      </w:r>
      <w:r w:rsidRPr="007E51E0">
        <w:rPr>
          <w:i/>
          <w:lang w:val="en-IE"/>
        </w:rPr>
        <w:t xml:space="preserve">J. Clin. </w:t>
      </w:r>
      <w:proofErr w:type="spellStart"/>
      <w:r w:rsidRPr="007E51E0">
        <w:rPr>
          <w:i/>
          <w:lang w:val="en-IE"/>
        </w:rPr>
        <w:t>Microbiol</w:t>
      </w:r>
      <w:proofErr w:type="spellEnd"/>
      <w:r w:rsidRPr="007E51E0">
        <w:rPr>
          <w:lang w:val="en-IE"/>
        </w:rPr>
        <w:t xml:space="preserve">., </w:t>
      </w:r>
      <w:r w:rsidRPr="007E51E0">
        <w:rPr>
          <w:b/>
          <w:lang w:val="en-IE"/>
        </w:rPr>
        <w:t>43</w:t>
      </w:r>
      <w:r w:rsidRPr="007E51E0">
        <w:rPr>
          <w:lang w:val="en-IE"/>
        </w:rPr>
        <w:t>, 479–483.</w:t>
      </w:r>
    </w:p>
    <w:p w14:paraId="6C9F4223" w14:textId="0F696A27" w:rsidR="00FE3A87" w:rsidRPr="007E51E0" w:rsidRDefault="00FE3A87" w:rsidP="00945E84">
      <w:pPr>
        <w:pStyle w:val="Ref"/>
        <w:tabs>
          <w:tab w:val="clear" w:pos="-720"/>
          <w:tab w:val="left" w:pos="1384"/>
        </w:tabs>
        <w:rPr>
          <w:smallCaps/>
          <w:lang w:val="en-IE"/>
        </w:rPr>
      </w:pPr>
      <w:r w:rsidRPr="007E51E0">
        <w:rPr>
          <w:smallCaps/>
          <w:lang w:val="en-IE"/>
        </w:rPr>
        <w:t>Gilling D</w:t>
      </w:r>
      <w:r w:rsidR="006D3D1D" w:rsidRPr="007E51E0">
        <w:rPr>
          <w:smallCaps/>
          <w:lang w:val="en-IE"/>
        </w:rPr>
        <w:t>.</w:t>
      </w:r>
      <w:r w:rsidRPr="007E51E0">
        <w:rPr>
          <w:smallCaps/>
          <w:lang w:val="en-IE"/>
        </w:rPr>
        <w:t>H</w:t>
      </w:r>
      <w:r w:rsidR="006D3D1D" w:rsidRPr="007E51E0">
        <w:rPr>
          <w:smallCaps/>
          <w:lang w:val="en-IE"/>
        </w:rPr>
        <w:t>.</w:t>
      </w:r>
      <w:r w:rsidRPr="007E51E0">
        <w:rPr>
          <w:smallCaps/>
          <w:lang w:val="en-IE"/>
        </w:rPr>
        <w:t>, Luna V</w:t>
      </w:r>
      <w:r w:rsidR="006D3D1D" w:rsidRPr="007E51E0">
        <w:rPr>
          <w:smallCaps/>
          <w:lang w:val="en-IE"/>
        </w:rPr>
        <w:t>.</w:t>
      </w:r>
      <w:r w:rsidRPr="007E51E0">
        <w:rPr>
          <w:smallCaps/>
          <w:lang w:val="en-IE"/>
        </w:rPr>
        <w:t>A</w:t>
      </w:r>
      <w:r w:rsidR="006D3D1D" w:rsidRPr="007E51E0">
        <w:rPr>
          <w:smallCaps/>
          <w:lang w:val="en-IE"/>
        </w:rPr>
        <w:t>.</w:t>
      </w:r>
      <w:r w:rsidR="00B15D95" w:rsidRPr="007E51E0">
        <w:rPr>
          <w:smallCaps/>
          <w:lang w:val="en-IE"/>
        </w:rPr>
        <w:t xml:space="preserve"> &amp; </w:t>
      </w:r>
      <w:r w:rsidRPr="007E51E0">
        <w:rPr>
          <w:smallCaps/>
          <w:lang w:val="en-IE"/>
        </w:rPr>
        <w:t xml:space="preserve">Pflugradt C. </w:t>
      </w:r>
      <w:r w:rsidR="006D3D1D" w:rsidRPr="007E51E0">
        <w:rPr>
          <w:smallCaps/>
          <w:lang w:val="en-IE"/>
        </w:rPr>
        <w:t>(</w:t>
      </w:r>
      <w:r w:rsidR="006D3D1D" w:rsidRPr="007E51E0">
        <w:rPr>
          <w:lang w:val="en-IE"/>
        </w:rPr>
        <w:t xml:space="preserve">2014). </w:t>
      </w:r>
      <w:r w:rsidRPr="007E51E0">
        <w:rPr>
          <w:lang w:val="en-IE"/>
        </w:rPr>
        <w:t xml:space="preserve">The </w:t>
      </w:r>
      <w:r w:rsidR="00B15D95" w:rsidRPr="007E51E0">
        <w:rPr>
          <w:lang w:val="en-IE"/>
        </w:rPr>
        <w:t xml:space="preserve">identification and differentiation between </w:t>
      </w:r>
      <w:proofErr w:type="spellStart"/>
      <w:r w:rsidRPr="007E51E0">
        <w:rPr>
          <w:i/>
          <w:lang w:val="en-IE"/>
        </w:rPr>
        <w:t>Burkholderia</w:t>
      </w:r>
      <w:proofErr w:type="spellEnd"/>
      <w:r w:rsidRPr="007E51E0">
        <w:rPr>
          <w:i/>
          <w:lang w:val="en-IE"/>
        </w:rPr>
        <w:t xml:space="preserve"> mallei</w:t>
      </w:r>
      <w:r w:rsidRPr="007E51E0">
        <w:rPr>
          <w:lang w:val="en-IE"/>
        </w:rPr>
        <w:t xml:space="preserve"> and </w:t>
      </w:r>
      <w:proofErr w:type="spellStart"/>
      <w:r w:rsidRPr="007E51E0">
        <w:rPr>
          <w:i/>
          <w:lang w:val="en-IE"/>
        </w:rPr>
        <w:t>Burkholderia</w:t>
      </w:r>
      <w:proofErr w:type="spellEnd"/>
      <w:r w:rsidRPr="007E51E0">
        <w:rPr>
          <w:i/>
          <w:lang w:val="en-IE"/>
        </w:rPr>
        <w:t xml:space="preserve"> </w:t>
      </w:r>
      <w:proofErr w:type="spellStart"/>
      <w:r w:rsidRPr="007E51E0">
        <w:rPr>
          <w:i/>
          <w:lang w:val="en-IE"/>
        </w:rPr>
        <w:t>pseudomallei</w:t>
      </w:r>
      <w:proofErr w:type="spellEnd"/>
      <w:r w:rsidRPr="007E51E0">
        <w:rPr>
          <w:lang w:val="en-IE"/>
        </w:rPr>
        <w:t xml:space="preserve"> </w:t>
      </w:r>
      <w:r w:rsidR="00B15D95" w:rsidRPr="007E51E0">
        <w:rPr>
          <w:lang w:val="en-IE"/>
        </w:rPr>
        <w:t>using one gene pyrosequencing</w:t>
      </w:r>
      <w:r w:rsidRPr="007E51E0">
        <w:rPr>
          <w:lang w:val="en-IE"/>
        </w:rPr>
        <w:t xml:space="preserve">. </w:t>
      </w:r>
      <w:r w:rsidRPr="007E51E0">
        <w:rPr>
          <w:i/>
          <w:lang w:val="en-IE"/>
        </w:rPr>
        <w:t>Int</w:t>
      </w:r>
      <w:r w:rsidR="00B15D95" w:rsidRPr="007E51E0">
        <w:rPr>
          <w:i/>
          <w:lang w:val="en-IE"/>
        </w:rPr>
        <w:t>.</w:t>
      </w:r>
      <w:r w:rsidRPr="007E51E0">
        <w:rPr>
          <w:i/>
          <w:lang w:val="en-IE"/>
        </w:rPr>
        <w:t xml:space="preserve"> Sch</w:t>
      </w:r>
      <w:r w:rsidR="00B15D95" w:rsidRPr="007E51E0">
        <w:rPr>
          <w:i/>
          <w:lang w:val="en-IE"/>
        </w:rPr>
        <w:t>.</w:t>
      </w:r>
      <w:r w:rsidRPr="007E51E0">
        <w:rPr>
          <w:i/>
          <w:lang w:val="en-IE"/>
        </w:rPr>
        <w:t xml:space="preserve"> Res</w:t>
      </w:r>
      <w:r w:rsidR="00B15D95" w:rsidRPr="007E51E0">
        <w:rPr>
          <w:i/>
          <w:lang w:val="en-IE"/>
        </w:rPr>
        <w:t>.</w:t>
      </w:r>
      <w:r w:rsidRPr="007E51E0">
        <w:rPr>
          <w:i/>
          <w:lang w:val="en-IE"/>
        </w:rPr>
        <w:t xml:space="preserve"> Notices</w:t>
      </w:r>
      <w:r w:rsidR="00B15D95" w:rsidRPr="007E51E0">
        <w:rPr>
          <w:lang w:val="en-IE"/>
        </w:rPr>
        <w:t>,</w:t>
      </w:r>
      <w:r w:rsidRPr="007E51E0">
        <w:rPr>
          <w:lang w:val="en-IE"/>
        </w:rPr>
        <w:t xml:space="preserve"> </w:t>
      </w:r>
      <w:r w:rsidR="00B15D95" w:rsidRPr="007E51E0">
        <w:rPr>
          <w:lang w:val="en-IE"/>
        </w:rPr>
        <w:t xml:space="preserve">October </w:t>
      </w:r>
      <w:r w:rsidRPr="007E51E0">
        <w:rPr>
          <w:lang w:val="en-IE"/>
        </w:rPr>
        <w:t>2</w:t>
      </w:r>
      <w:r w:rsidR="00B15D95" w:rsidRPr="007E51E0">
        <w:rPr>
          <w:lang w:val="en-IE"/>
        </w:rPr>
        <w:t xml:space="preserve">, </w:t>
      </w:r>
      <w:r w:rsidRPr="007E51E0">
        <w:rPr>
          <w:lang w:val="en-IE"/>
        </w:rPr>
        <w:t>109583.</w:t>
      </w:r>
      <w:r w:rsidRPr="007E51E0">
        <w:rPr>
          <w:smallCaps/>
          <w:lang w:val="en-IE"/>
        </w:rPr>
        <w:t xml:space="preserve"> </w:t>
      </w:r>
    </w:p>
    <w:p w14:paraId="09EF9C11" w14:textId="34B927E9" w:rsidR="007E56A8" w:rsidRPr="007E51E0" w:rsidRDefault="007E56A8" w:rsidP="00945E84">
      <w:pPr>
        <w:pStyle w:val="Ref"/>
        <w:tabs>
          <w:tab w:val="clear" w:pos="-720"/>
          <w:tab w:val="left" w:pos="1384"/>
        </w:tabs>
        <w:rPr>
          <w:lang w:val="en-IE"/>
        </w:rPr>
      </w:pPr>
      <w:r w:rsidRPr="007E51E0">
        <w:rPr>
          <w:smallCaps/>
          <w:lang w:val="en-IE"/>
        </w:rPr>
        <w:t>Godoy D., Randle G., Simpson A.J., Aanensen D.M., Pitt T.L., Kinoshita R. &amp; Spratt B.G</w:t>
      </w:r>
      <w:r w:rsidRPr="007E51E0">
        <w:rPr>
          <w:lang w:val="en-IE"/>
        </w:rPr>
        <w:t xml:space="preserve">. (2003). </w:t>
      </w:r>
      <w:proofErr w:type="spellStart"/>
      <w:r w:rsidRPr="007E51E0">
        <w:rPr>
          <w:lang w:val="en-IE"/>
        </w:rPr>
        <w:t>Multilocus</w:t>
      </w:r>
      <w:proofErr w:type="spellEnd"/>
      <w:r w:rsidRPr="007E51E0">
        <w:rPr>
          <w:lang w:val="en-IE"/>
        </w:rPr>
        <w:t xml:space="preserve"> sequence typing and evolutionary relationships among the causative agents of melioidosis and glanders, </w:t>
      </w:r>
      <w:proofErr w:type="spellStart"/>
      <w:r w:rsidRPr="007E51E0">
        <w:rPr>
          <w:i/>
          <w:lang w:val="en-IE"/>
        </w:rPr>
        <w:t>Burkholderia</w:t>
      </w:r>
      <w:proofErr w:type="spellEnd"/>
      <w:r w:rsidRPr="007E51E0">
        <w:rPr>
          <w:i/>
          <w:lang w:val="en-IE"/>
        </w:rPr>
        <w:t xml:space="preserve"> </w:t>
      </w:r>
      <w:proofErr w:type="spellStart"/>
      <w:r w:rsidRPr="007E51E0">
        <w:rPr>
          <w:i/>
          <w:lang w:val="en-IE"/>
        </w:rPr>
        <w:t>pseudomallei</w:t>
      </w:r>
      <w:proofErr w:type="spellEnd"/>
      <w:r w:rsidRPr="007E51E0">
        <w:rPr>
          <w:lang w:val="en-IE"/>
        </w:rPr>
        <w:t xml:space="preserve"> and </w:t>
      </w:r>
      <w:proofErr w:type="spellStart"/>
      <w:r w:rsidRPr="007E51E0">
        <w:rPr>
          <w:i/>
          <w:lang w:val="en-IE"/>
        </w:rPr>
        <w:t>Burkholderia</w:t>
      </w:r>
      <w:proofErr w:type="spellEnd"/>
      <w:r w:rsidRPr="007E51E0">
        <w:rPr>
          <w:i/>
          <w:lang w:val="en-IE"/>
        </w:rPr>
        <w:t xml:space="preserve"> mallei</w:t>
      </w:r>
      <w:r w:rsidRPr="007E51E0">
        <w:rPr>
          <w:lang w:val="en-IE"/>
        </w:rPr>
        <w:t xml:space="preserve">. </w:t>
      </w:r>
      <w:r w:rsidRPr="007E51E0">
        <w:rPr>
          <w:i/>
          <w:lang w:val="en-IE"/>
        </w:rPr>
        <w:t xml:space="preserve">J. Clin. </w:t>
      </w:r>
      <w:proofErr w:type="spellStart"/>
      <w:r w:rsidRPr="007E51E0">
        <w:rPr>
          <w:i/>
          <w:lang w:val="en-IE"/>
        </w:rPr>
        <w:t>Microbiol</w:t>
      </w:r>
      <w:proofErr w:type="spellEnd"/>
      <w:r w:rsidRPr="007E51E0">
        <w:rPr>
          <w:lang w:val="en-IE"/>
        </w:rPr>
        <w:t xml:space="preserve">., </w:t>
      </w:r>
      <w:r w:rsidRPr="007E51E0">
        <w:rPr>
          <w:b/>
          <w:lang w:val="en-IE"/>
        </w:rPr>
        <w:t>41</w:t>
      </w:r>
      <w:r w:rsidRPr="007E51E0">
        <w:rPr>
          <w:lang w:val="en-IE"/>
        </w:rPr>
        <w:t>, 2068–2079.</w:t>
      </w:r>
    </w:p>
    <w:p w14:paraId="4842F7CA" w14:textId="77777777" w:rsidR="007E56A8" w:rsidRPr="007E51E0" w:rsidRDefault="007E56A8" w:rsidP="00945E84">
      <w:pPr>
        <w:pStyle w:val="Ref"/>
        <w:tabs>
          <w:tab w:val="clear" w:pos="-720"/>
          <w:tab w:val="left" w:pos="1384"/>
        </w:tabs>
        <w:rPr>
          <w:lang w:val="en-IE"/>
        </w:rPr>
      </w:pPr>
      <w:r w:rsidRPr="007E51E0">
        <w:rPr>
          <w:smallCaps/>
          <w:lang w:val="en-IE"/>
        </w:rPr>
        <w:t>Harvey S.P. &amp; Minter J.M.</w:t>
      </w:r>
      <w:r w:rsidRPr="007E51E0">
        <w:rPr>
          <w:lang w:val="en-IE"/>
        </w:rPr>
        <w:t xml:space="preserve"> (2005). Ribotyping of </w:t>
      </w:r>
      <w:proofErr w:type="spellStart"/>
      <w:r w:rsidRPr="007E51E0">
        <w:rPr>
          <w:i/>
          <w:lang w:val="en-IE"/>
        </w:rPr>
        <w:t>Burkholderia</w:t>
      </w:r>
      <w:proofErr w:type="spellEnd"/>
      <w:r w:rsidRPr="007E51E0">
        <w:rPr>
          <w:i/>
          <w:lang w:val="en-IE"/>
        </w:rPr>
        <w:t xml:space="preserve"> mallei</w:t>
      </w:r>
      <w:r w:rsidRPr="007E51E0">
        <w:rPr>
          <w:lang w:val="en-IE"/>
        </w:rPr>
        <w:t xml:space="preserve"> isolates. </w:t>
      </w:r>
      <w:r w:rsidRPr="007E51E0">
        <w:rPr>
          <w:i/>
          <w:lang w:val="en-IE"/>
        </w:rPr>
        <w:t xml:space="preserve">FEMS Immunol. Med. </w:t>
      </w:r>
      <w:proofErr w:type="spellStart"/>
      <w:r w:rsidRPr="007E51E0">
        <w:rPr>
          <w:i/>
          <w:lang w:val="en-IE"/>
        </w:rPr>
        <w:t>Microbiol</w:t>
      </w:r>
      <w:proofErr w:type="spellEnd"/>
      <w:r w:rsidRPr="007E51E0">
        <w:rPr>
          <w:i/>
          <w:lang w:val="en-IE"/>
        </w:rPr>
        <w:t>.</w:t>
      </w:r>
      <w:r w:rsidRPr="007E51E0">
        <w:rPr>
          <w:lang w:val="en-IE"/>
        </w:rPr>
        <w:t xml:space="preserve">, </w:t>
      </w:r>
      <w:r w:rsidRPr="007E51E0">
        <w:rPr>
          <w:b/>
          <w:lang w:val="en-IE"/>
        </w:rPr>
        <w:t>44</w:t>
      </w:r>
      <w:r w:rsidRPr="007E51E0">
        <w:rPr>
          <w:lang w:val="en-IE"/>
        </w:rPr>
        <w:t>, 91–97.</w:t>
      </w:r>
    </w:p>
    <w:p w14:paraId="63EF02D7" w14:textId="53D5143B" w:rsidR="006D3D1D" w:rsidRPr="007E51E0" w:rsidRDefault="006D3D1D" w:rsidP="00945E84">
      <w:pPr>
        <w:pStyle w:val="Ref"/>
        <w:tabs>
          <w:tab w:val="clear" w:pos="-720"/>
          <w:tab w:val="left" w:pos="1384"/>
        </w:tabs>
        <w:rPr>
          <w:lang w:val="en-IE"/>
        </w:rPr>
      </w:pPr>
      <w:proofErr w:type="spellStart"/>
      <w:r w:rsidRPr="007E51E0">
        <w:rPr>
          <w:smallCaps/>
          <w:lang w:val="en-IE"/>
        </w:rPr>
        <w:t>Hemarajata</w:t>
      </w:r>
      <w:proofErr w:type="spellEnd"/>
      <w:r w:rsidRPr="007E51E0">
        <w:rPr>
          <w:smallCaps/>
          <w:lang w:val="en-IE"/>
        </w:rPr>
        <w:t xml:space="preserve"> P., Baghdadi J.D., Hoffman R.</w:t>
      </w:r>
      <w:r w:rsidR="00B15D95" w:rsidRPr="007E51E0">
        <w:rPr>
          <w:smallCaps/>
          <w:lang w:val="en-IE"/>
        </w:rPr>
        <w:t xml:space="preserve"> &amp; </w:t>
      </w:r>
      <w:r w:rsidRPr="007E51E0">
        <w:rPr>
          <w:smallCaps/>
          <w:lang w:val="en-IE"/>
        </w:rPr>
        <w:t>Humphries R.M.</w:t>
      </w:r>
      <w:r w:rsidR="00B15D95" w:rsidRPr="007E51E0">
        <w:rPr>
          <w:lang w:val="en-IE"/>
        </w:rPr>
        <w:t xml:space="preserve"> </w:t>
      </w:r>
      <w:r w:rsidRPr="007E51E0">
        <w:rPr>
          <w:lang w:val="en-IE"/>
        </w:rPr>
        <w:t xml:space="preserve">(2016). </w:t>
      </w:r>
      <w:proofErr w:type="spellStart"/>
      <w:r w:rsidRPr="007E51E0">
        <w:rPr>
          <w:i/>
          <w:lang w:val="en-IE"/>
        </w:rPr>
        <w:t>Burkholderia</w:t>
      </w:r>
      <w:proofErr w:type="spellEnd"/>
      <w:r w:rsidRPr="007E51E0">
        <w:rPr>
          <w:i/>
          <w:lang w:val="en-IE"/>
        </w:rPr>
        <w:t xml:space="preserve"> </w:t>
      </w:r>
      <w:proofErr w:type="spellStart"/>
      <w:r w:rsidRPr="007E51E0">
        <w:rPr>
          <w:i/>
          <w:lang w:val="en-IE"/>
        </w:rPr>
        <w:t>pseudomallei</w:t>
      </w:r>
      <w:proofErr w:type="spellEnd"/>
      <w:r w:rsidRPr="007E51E0">
        <w:rPr>
          <w:i/>
          <w:lang w:val="en-IE"/>
        </w:rPr>
        <w:t>:</w:t>
      </w:r>
      <w:r w:rsidRPr="007E51E0">
        <w:rPr>
          <w:lang w:val="en-IE"/>
        </w:rPr>
        <w:t xml:space="preserve"> </w:t>
      </w:r>
      <w:r w:rsidR="00BC16FF" w:rsidRPr="007E51E0">
        <w:rPr>
          <w:lang w:val="en-IE"/>
        </w:rPr>
        <w:t>challenges for the clinical microbiology laboratory</w:t>
      </w:r>
      <w:r w:rsidRPr="007E51E0">
        <w:rPr>
          <w:lang w:val="en-IE"/>
        </w:rPr>
        <w:t xml:space="preserve">. </w:t>
      </w:r>
      <w:r w:rsidRPr="007E51E0">
        <w:rPr>
          <w:i/>
          <w:lang w:val="en-IE"/>
        </w:rPr>
        <w:t>J</w:t>
      </w:r>
      <w:r w:rsidR="00B15D95" w:rsidRPr="007E51E0">
        <w:rPr>
          <w:i/>
          <w:lang w:val="en-IE"/>
        </w:rPr>
        <w:t>.</w:t>
      </w:r>
      <w:r w:rsidRPr="007E51E0">
        <w:rPr>
          <w:i/>
          <w:lang w:val="en-IE"/>
        </w:rPr>
        <w:t xml:space="preserve"> Clin</w:t>
      </w:r>
      <w:r w:rsidR="00B15D95" w:rsidRPr="007E51E0">
        <w:rPr>
          <w:i/>
          <w:lang w:val="en-IE"/>
        </w:rPr>
        <w:t>.</w:t>
      </w:r>
      <w:r w:rsidRPr="007E51E0">
        <w:rPr>
          <w:i/>
          <w:lang w:val="en-IE"/>
        </w:rPr>
        <w:t xml:space="preserve"> </w:t>
      </w:r>
      <w:proofErr w:type="spellStart"/>
      <w:r w:rsidRPr="007E51E0">
        <w:rPr>
          <w:i/>
          <w:lang w:val="en-IE"/>
        </w:rPr>
        <w:t>Microbiol</w:t>
      </w:r>
      <w:proofErr w:type="spellEnd"/>
      <w:r w:rsidRPr="007E51E0">
        <w:rPr>
          <w:i/>
          <w:lang w:val="en-IE"/>
        </w:rPr>
        <w:t>.</w:t>
      </w:r>
      <w:r w:rsidR="00B15D95" w:rsidRPr="007E51E0">
        <w:rPr>
          <w:i/>
          <w:lang w:val="en-IE"/>
        </w:rPr>
        <w:t>,</w:t>
      </w:r>
      <w:r w:rsidRPr="007E51E0">
        <w:rPr>
          <w:lang w:val="en-IE"/>
        </w:rPr>
        <w:t xml:space="preserve"> </w:t>
      </w:r>
      <w:r w:rsidRPr="007E51E0">
        <w:rPr>
          <w:b/>
          <w:lang w:val="en-IE"/>
        </w:rPr>
        <w:t>54</w:t>
      </w:r>
      <w:r w:rsidR="00B15D95" w:rsidRPr="007E51E0">
        <w:rPr>
          <w:lang w:val="en-IE"/>
        </w:rPr>
        <w:t xml:space="preserve">, </w:t>
      </w:r>
      <w:r w:rsidRPr="007E51E0">
        <w:rPr>
          <w:lang w:val="en-IE"/>
        </w:rPr>
        <w:t>2866</w:t>
      </w:r>
      <w:r w:rsidR="00B15D95" w:rsidRPr="007E51E0">
        <w:rPr>
          <w:lang w:val="en-IE"/>
        </w:rPr>
        <w:t>–</w:t>
      </w:r>
      <w:r w:rsidRPr="007E51E0">
        <w:rPr>
          <w:lang w:val="en-IE"/>
        </w:rPr>
        <w:t>2873.</w:t>
      </w:r>
    </w:p>
    <w:p w14:paraId="5E0A0F2B" w14:textId="44048475" w:rsidR="00CD4D43" w:rsidRPr="000538CC" w:rsidRDefault="00CD4D43" w:rsidP="00945E84">
      <w:pPr>
        <w:pStyle w:val="Ref"/>
        <w:tabs>
          <w:tab w:val="clear" w:pos="-720"/>
          <w:tab w:val="left" w:pos="1384"/>
        </w:tabs>
        <w:rPr>
          <w:smallCaps/>
          <w:lang w:val="en-IE"/>
        </w:rPr>
      </w:pPr>
      <w:r w:rsidRPr="007E51E0">
        <w:rPr>
          <w:smallCaps/>
          <w:lang w:val="en-IE"/>
        </w:rPr>
        <w:t>Inglis T.J., Merritt A., Chidlow G., Aravena-Roman M.</w:t>
      </w:r>
      <w:r w:rsidR="00BC16FF" w:rsidRPr="007E51E0">
        <w:rPr>
          <w:smallCaps/>
          <w:lang w:val="en-IE"/>
        </w:rPr>
        <w:t xml:space="preserve"> &amp;</w:t>
      </w:r>
      <w:r w:rsidRPr="007E51E0">
        <w:rPr>
          <w:smallCaps/>
          <w:lang w:val="en-IE"/>
        </w:rPr>
        <w:t xml:space="preserve"> </w:t>
      </w:r>
      <w:proofErr w:type="spellStart"/>
      <w:r w:rsidRPr="007E51E0">
        <w:rPr>
          <w:smallCaps/>
          <w:lang w:val="en-IE"/>
        </w:rPr>
        <w:t>Harnett</w:t>
      </w:r>
      <w:proofErr w:type="spellEnd"/>
      <w:r w:rsidRPr="007E51E0">
        <w:rPr>
          <w:smallCaps/>
          <w:lang w:val="en-IE"/>
        </w:rPr>
        <w:t xml:space="preserve"> G. </w:t>
      </w:r>
      <w:r w:rsidRPr="007E51E0">
        <w:rPr>
          <w:lang w:val="en-IE"/>
        </w:rPr>
        <w:t xml:space="preserve">(2005). Comparison of diagnostic laboratory methods for identification of </w:t>
      </w:r>
      <w:proofErr w:type="spellStart"/>
      <w:r w:rsidRPr="007E51E0">
        <w:rPr>
          <w:i/>
          <w:lang w:val="en-IE"/>
        </w:rPr>
        <w:t>Burkholderia</w:t>
      </w:r>
      <w:proofErr w:type="spellEnd"/>
      <w:r w:rsidRPr="007E51E0">
        <w:rPr>
          <w:i/>
          <w:lang w:val="en-IE"/>
        </w:rPr>
        <w:t xml:space="preserve"> </w:t>
      </w:r>
      <w:proofErr w:type="spellStart"/>
      <w:r w:rsidRPr="007E51E0">
        <w:rPr>
          <w:i/>
          <w:lang w:val="en-IE"/>
        </w:rPr>
        <w:t>pseudomallei</w:t>
      </w:r>
      <w:proofErr w:type="spellEnd"/>
      <w:r w:rsidRPr="007E51E0">
        <w:rPr>
          <w:lang w:val="en-IE"/>
        </w:rPr>
        <w:t xml:space="preserve">. </w:t>
      </w:r>
      <w:r w:rsidR="00BC16FF" w:rsidRPr="000538CC">
        <w:rPr>
          <w:i/>
          <w:lang w:val="en-IE"/>
        </w:rPr>
        <w:t xml:space="preserve">J. Clin. </w:t>
      </w:r>
      <w:proofErr w:type="spellStart"/>
      <w:r w:rsidR="00BC16FF" w:rsidRPr="000538CC">
        <w:rPr>
          <w:i/>
          <w:lang w:val="en-IE"/>
        </w:rPr>
        <w:t>Microbiol</w:t>
      </w:r>
      <w:proofErr w:type="spellEnd"/>
      <w:r w:rsidR="00BC16FF" w:rsidRPr="000538CC">
        <w:rPr>
          <w:i/>
          <w:lang w:val="en-IE"/>
        </w:rPr>
        <w:t>.,</w:t>
      </w:r>
      <w:r w:rsidR="00BC16FF" w:rsidRPr="000538CC">
        <w:rPr>
          <w:lang w:val="en-IE"/>
        </w:rPr>
        <w:t xml:space="preserve"> </w:t>
      </w:r>
      <w:r w:rsidRPr="000538CC">
        <w:rPr>
          <w:b/>
          <w:lang w:val="en-IE"/>
        </w:rPr>
        <w:t>43</w:t>
      </w:r>
      <w:r w:rsidR="00BC16FF" w:rsidRPr="000538CC">
        <w:rPr>
          <w:lang w:val="en-IE"/>
        </w:rPr>
        <w:t xml:space="preserve">, </w:t>
      </w:r>
      <w:r w:rsidRPr="000538CC">
        <w:rPr>
          <w:lang w:val="en-IE"/>
        </w:rPr>
        <w:t>2201</w:t>
      </w:r>
      <w:r w:rsidR="00BC16FF" w:rsidRPr="000538CC">
        <w:rPr>
          <w:lang w:val="en-IE"/>
        </w:rPr>
        <w:t>–220</w:t>
      </w:r>
      <w:r w:rsidRPr="000538CC">
        <w:rPr>
          <w:lang w:val="en-IE"/>
        </w:rPr>
        <w:t>6.</w:t>
      </w:r>
    </w:p>
    <w:p w14:paraId="1430D929" w14:textId="77777777" w:rsidR="002078AA" w:rsidRPr="007E51E0" w:rsidRDefault="002078AA" w:rsidP="00945E84">
      <w:pPr>
        <w:pStyle w:val="Ref"/>
        <w:rPr>
          <w:lang w:val="en-IE"/>
        </w:rPr>
      </w:pPr>
      <w:r w:rsidRPr="000538CC">
        <w:rPr>
          <w:smallCaps/>
          <w:lang w:val="en-IE"/>
        </w:rPr>
        <w:t>Karger A., Stock R., Ziller M., Elschner M.C., Bettin B., Melzer F., Maier T., Kostrzewa M., Scholz H.C., Neubauer H. &amp; Tomaso H.</w:t>
      </w:r>
      <w:r w:rsidRPr="000538CC">
        <w:rPr>
          <w:lang w:val="en-IE"/>
        </w:rPr>
        <w:t xml:space="preserve"> (2012). </w:t>
      </w:r>
      <w:r w:rsidRPr="007E51E0">
        <w:rPr>
          <w:lang w:val="en-IE"/>
        </w:rPr>
        <w:t xml:space="preserve">Rapid identification of </w:t>
      </w:r>
      <w:proofErr w:type="spellStart"/>
      <w:r w:rsidRPr="007E51E0">
        <w:rPr>
          <w:i/>
          <w:lang w:val="en-IE"/>
        </w:rPr>
        <w:t>Burkholderia</w:t>
      </w:r>
      <w:proofErr w:type="spellEnd"/>
      <w:r w:rsidRPr="007E51E0">
        <w:rPr>
          <w:i/>
          <w:lang w:val="en-IE"/>
        </w:rPr>
        <w:t xml:space="preserve"> mallei</w:t>
      </w:r>
      <w:r w:rsidRPr="007E51E0">
        <w:rPr>
          <w:lang w:val="en-IE"/>
        </w:rPr>
        <w:t xml:space="preserve"> and </w:t>
      </w:r>
      <w:proofErr w:type="spellStart"/>
      <w:r w:rsidRPr="007E51E0">
        <w:rPr>
          <w:i/>
          <w:lang w:val="en-IE"/>
        </w:rPr>
        <w:t>Burkholderia</w:t>
      </w:r>
      <w:proofErr w:type="spellEnd"/>
      <w:r w:rsidRPr="007E51E0">
        <w:rPr>
          <w:i/>
          <w:lang w:val="en-IE"/>
        </w:rPr>
        <w:t xml:space="preserve"> </w:t>
      </w:r>
      <w:proofErr w:type="spellStart"/>
      <w:r w:rsidRPr="007E51E0">
        <w:rPr>
          <w:i/>
          <w:lang w:val="en-IE"/>
        </w:rPr>
        <w:t>pseudomallei</w:t>
      </w:r>
      <w:proofErr w:type="spellEnd"/>
      <w:r w:rsidRPr="007E51E0">
        <w:rPr>
          <w:lang w:val="en-IE"/>
        </w:rPr>
        <w:t xml:space="preserve"> by intact cell matrix-assisted laser desorption/ionisation mass spectrometric typing. </w:t>
      </w:r>
      <w:r w:rsidRPr="007E51E0">
        <w:rPr>
          <w:i/>
          <w:lang w:val="en-IE"/>
        </w:rPr>
        <w:t xml:space="preserve">BMC </w:t>
      </w:r>
      <w:proofErr w:type="spellStart"/>
      <w:r w:rsidRPr="007E51E0">
        <w:rPr>
          <w:i/>
          <w:lang w:val="en-IE"/>
        </w:rPr>
        <w:t>Microbiol</w:t>
      </w:r>
      <w:proofErr w:type="spellEnd"/>
      <w:r w:rsidRPr="007E51E0">
        <w:rPr>
          <w:i/>
          <w:lang w:val="en-IE"/>
        </w:rPr>
        <w:t>.,</w:t>
      </w:r>
      <w:r w:rsidRPr="007E51E0">
        <w:rPr>
          <w:lang w:val="en-IE"/>
        </w:rPr>
        <w:t xml:space="preserve"> </w:t>
      </w:r>
      <w:r w:rsidRPr="007E51E0">
        <w:rPr>
          <w:b/>
          <w:lang w:val="en-IE"/>
        </w:rPr>
        <w:t>12</w:t>
      </w:r>
      <w:r w:rsidRPr="007E51E0">
        <w:rPr>
          <w:lang w:val="en-IE"/>
        </w:rPr>
        <w:t xml:space="preserve">, 229. </w:t>
      </w:r>
    </w:p>
    <w:p w14:paraId="4C28E263" w14:textId="7C058448" w:rsidR="007E56A8" w:rsidRPr="008016BD" w:rsidRDefault="007E56A8" w:rsidP="00945E84">
      <w:pPr>
        <w:pStyle w:val="Ref"/>
        <w:tabs>
          <w:tab w:val="clear" w:pos="-720"/>
          <w:tab w:val="left" w:pos="1384"/>
        </w:tabs>
        <w:rPr>
          <w:lang w:val="de-DE"/>
        </w:rPr>
      </w:pPr>
      <w:r w:rsidRPr="007E51E0">
        <w:rPr>
          <w:smallCaps/>
          <w:lang w:val="en-IE"/>
        </w:rPr>
        <w:t>Katz J.B., Chieves., Hennager S.G., Nicholson J.M., Fisher T.A. &amp; Byers P.E</w:t>
      </w:r>
      <w:r w:rsidRPr="007E51E0">
        <w:rPr>
          <w:lang w:val="en-IE"/>
        </w:rPr>
        <w:t xml:space="preserve">. (1999). Serodiagnosis of equine piroplasmosis, dourine and glanders using an arrayed immunoblotting method. </w:t>
      </w:r>
      <w:r w:rsidRPr="008016BD">
        <w:rPr>
          <w:i/>
          <w:lang w:val="de-DE"/>
        </w:rPr>
        <w:t xml:space="preserve">J. Vet. </w:t>
      </w:r>
      <w:proofErr w:type="spellStart"/>
      <w:r w:rsidRPr="008016BD">
        <w:rPr>
          <w:i/>
          <w:lang w:val="de-DE"/>
        </w:rPr>
        <w:t>Diagn</w:t>
      </w:r>
      <w:proofErr w:type="spellEnd"/>
      <w:r w:rsidRPr="008016BD">
        <w:rPr>
          <w:i/>
          <w:lang w:val="de-DE"/>
        </w:rPr>
        <w:t xml:space="preserve">. </w:t>
      </w:r>
      <w:proofErr w:type="spellStart"/>
      <w:r w:rsidRPr="008016BD">
        <w:rPr>
          <w:i/>
          <w:lang w:val="de-DE"/>
        </w:rPr>
        <w:t>Invest</w:t>
      </w:r>
      <w:proofErr w:type="spellEnd"/>
      <w:r w:rsidRPr="008016BD">
        <w:rPr>
          <w:lang w:val="de-DE"/>
        </w:rPr>
        <w:t xml:space="preserve">., </w:t>
      </w:r>
      <w:r w:rsidRPr="008016BD">
        <w:rPr>
          <w:b/>
          <w:lang w:val="de-DE"/>
        </w:rPr>
        <w:t>11</w:t>
      </w:r>
      <w:r w:rsidRPr="008016BD">
        <w:rPr>
          <w:lang w:val="de-DE"/>
        </w:rPr>
        <w:t>, 292–294.</w:t>
      </w:r>
    </w:p>
    <w:p w14:paraId="5781E048" w14:textId="77777777" w:rsidR="007E56A8" w:rsidRPr="000538CC" w:rsidRDefault="007E56A8" w:rsidP="00945E84">
      <w:pPr>
        <w:pStyle w:val="Ref"/>
        <w:tabs>
          <w:tab w:val="clear" w:pos="-720"/>
          <w:tab w:val="left" w:pos="1384"/>
        </w:tabs>
        <w:rPr>
          <w:lang w:val="en-IE"/>
        </w:rPr>
      </w:pPr>
      <w:r w:rsidRPr="008016BD">
        <w:rPr>
          <w:smallCaps/>
          <w:lang w:val="de-DE"/>
        </w:rPr>
        <w:t>Katz J., Dewald R. &amp; Nicholson J. (</w:t>
      </w:r>
      <w:r w:rsidRPr="008016BD">
        <w:rPr>
          <w:lang w:val="de-DE"/>
        </w:rPr>
        <w:t xml:space="preserve">2000). </w:t>
      </w:r>
      <w:r w:rsidRPr="007E51E0">
        <w:rPr>
          <w:lang w:val="en-IE"/>
        </w:rPr>
        <w:t xml:space="preserve">Procedurally similar competitive immunoassay systems for the serodiagnosis of </w:t>
      </w:r>
      <w:r w:rsidRPr="007E51E0">
        <w:rPr>
          <w:i/>
          <w:iCs/>
          <w:lang w:val="en-IE"/>
        </w:rPr>
        <w:t xml:space="preserve">Babesia </w:t>
      </w:r>
      <w:proofErr w:type="spellStart"/>
      <w:r w:rsidRPr="007E51E0">
        <w:rPr>
          <w:i/>
          <w:iCs/>
          <w:lang w:val="en-IE"/>
        </w:rPr>
        <w:t>equi</w:t>
      </w:r>
      <w:proofErr w:type="spellEnd"/>
      <w:r w:rsidRPr="007E51E0">
        <w:rPr>
          <w:i/>
          <w:iCs/>
          <w:lang w:val="en-IE"/>
        </w:rPr>
        <w:t xml:space="preserve">, Babesia </w:t>
      </w:r>
      <w:proofErr w:type="spellStart"/>
      <w:r w:rsidRPr="007E51E0">
        <w:rPr>
          <w:i/>
          <w:iCs/>
          <w:lang w:val="en-IE"/>
        </w:rPr>
        <w:t>caballi</w:t>
      </w:r>
      <w:proofErr w:type="spellEnd"/>
      <w:r w:rsidRPr="007E51E0">
        <w:rPr>
          <w:i/>
          <w:iCs/>
          <w:lang w:val="en-IE"/>
        </w:rPr>
        <w:t xml:space="preserve">, Trypanosoma </w:t>
      </w:r>
      <w:proofErr w:type="spellStart"/>
      <w:r w:rsidRPr="007E51E0">
        <w:rPr>
          <w:i/>
          <w:iCs/>
          <w:lang w:val="en-IE"/>
        </w:rPr>
        <w:t>equiperdum</w:t>
      </w:r>
      <w:proofErr w:type="spellEnd"/>
      <w:r w:rsidRPr="007E51E0">
        <w:rPr>
          <w:lang w:val="en-IE"/>
        </w:rPr>
        <w:t xml:space="preserve">, </w:t>
      </w:r>
      <w:r w:rsidRPr="007E51E0">
        <w:rPr>
          <w:i/>
          <w:iCs/>
          <w:lang w:val="en-IE"/>
        </w:rPr>
        <w:t xml:space="preserve">and </w:t>
      </w:r>
      <w:proofErr w:type="spellStart"/>
      <w:r w:rsidRPr="007E51E0">
        <w:rPr>
          <w:i/>
          <w:iCs/>
          <w:lang w:val="en-IE"/>
        </w:rPr>
        <w:t>Burkholderia</w:t>
      </w:r>
      <w:proofErr w:type="spellEnd"/>
      <w:r w:rsidRPr="007E51E0">
        <w:rPr>
          <w:i/>
          <w:iCs/>
          <w:lang w:val="en-IE"/>
        </w:rPr>
        <w:t xml:space="preserve"> mallei</w:t>
      </w:r>
      <w:r w:rsidRPr="007E51E0">
        <w:rPr>
          <w:lang w:val="en-IE"/>
        </w:rPr>
        <w:t xml:space="preserve"> infection in horses. </w:t>
      </w:r>
      <w:r w:rsidRPr="000538CC">
        <w:rPr>
          <w:i/>
          <w:lang w:val="en-IE"/>
        </w:rPr>
        <w:t>J. Vet. Diagn. Invest.</w:t>
      </w:r>
      <w:r w:rsidRPr="000538CC">
        <w:rPr>
          <w:lang w:val="en-IE"/>
        </w:rPr>
        <w:t xml:space="preserve">, </w:t>
      </w:r>
      <w:r w:rsidRPr="000538CC">
        <w:rPr>
          <w:b/>
          <w:lang w:val="en-IE"/>
        </w:rPr>
        <w:t>12</w:t>
      </w:r>
      <w:r w:rsidRPr="000538CC">
        <w:rPr>
          <w:lang w:val="en-IE"/>
        </w:rPr>
        <w:t>, 46–50.</w:t>
      </w:r>
    </w:p>
    <w:p w14:paraId="219B88DD" w14:textId="10AF16E3" w:rsidR="00166685" w:rsidRPr="00166685" w:rsidRDefault="00166685" w:rsidP="00166685">
      <w:pPr>
        <w:pStyle w:val="Ref"/>
      </w:pPr>
      <w:r w:rsidRPr="000538CC">
        <w:rPr>
          <w:smallCaps/>
          <w:lang w:val="en-IE"/>
        </w:rPr>
        <w:t xml:space="preserve">Khan I., Wieler L.H., Melzer F., Elschner M.C., Muhammad G., Ali S., Sprague L.D., Neubauer H. &amp; Saqib M. </w:t>
      </w:r>
      <w:r w:rsidRPr="000538CC">
        <w:rPr>
          <w:lang w:val="en-IE"/>
        </w:rPr>
        <w:t xml:space="preserve">(2013). </w:t>
      </w:r>
      <w:r w:rsidRPr="00166685">
        <w:t xml:space="preserve">Glanders in animals: a review on epidemiology, clinical presentation, diagnosis and countermeasures. </w:t>
      </w:r>
      <w:proofErr w:type="spellStart"/>
      <w:r w:rsidRPr="00166685">
        <w:rPr>
          <w:i/>
        </w:rPr>
        <w:t>Transbound</w:t>
      </w:r>
      <w:proofErr w:type="spellEnd"/>
      <w:r w:rsidRPr="00166685">
        <w:rPr>
          <w:i/>
        </w:rPr>
        <w:t>. Emerg. Dis</w:t>
      </w:r>
      <w:r w:rsidRPr="00166685">
        <w:t xml:space="preserve">., </w:t>
      </w:r>
      <w:r w:rsidRPr="00166685">
        <w:rPr>
          <w:b/>
        </w:rPr>
        <w:t>60</w:t>
      </w:r>
      <w:r w:rsidRPr="00166685">
        <w:t>, 204–2</w:t>
      </w:r>
      <w:r>
        <w:t>21.</w:t>
      </w:r>
    </w:p>
    <w:p w14:paraId="72B51736" w14:textId="77777777" w:rsidR="00A271B5" w:rsidRPr="007E51E0" w:rsidRDefault="00A271B5" w:rsidP="00945E84">
      <w:pPr>
        <w:pStyle w:val="Ref"/>
        <w:tabs>
          <w:tab w:val="clear" w:pos="-720"/>
          <w:tab w:val="left" w:pos="1384"/>
        </w:tabs>
        <w:rPr>
          <w:lang w:val="en-IE"/>
        </w:rPr>
      </w:pPr>
      <w:r w:rsidRPr="007E51E0">
        <w:rPr>
          <w:smallCaps/>
          <w:lang w:val="en-IE"/>
        </w:rPr>
        <w:lastRenderedPageBreak/>
        <w:t xml:space="preserve">Khan I., Wieler L.H., Melzer F., </w:t>
      </w:r>
      <w:proofErr w:type="spellStart"/>
      <w:r w:rsidRPr="007E51E0">
        <w:rPr>
          <w:smallCaps/>
          <w:lang w:val="en-IE"/>
        </w:rPr>
        <w:t>Gwida</w:t>
      </w:r>
      <w:proofErr w:type="spellEnd"/>
      <w:r w:rsidRPr="007E51E0">
        <w:rPr>
          <w:smallCaps/>
          <w:lang w:val="en-IE"/>
        </w:rPr>
        <w:t xml:space="preserve"> M., Santana V.L., de Souza M.M., Saqib M., Elschner M.C. &amp; Neubauer H. </w:t>
      </w:r>
      <w:r w:rsidRPr="007E51E0">
        <w:rPr>
          <w:lang w:val="en-IE"/>
        </w:rPr>
        <w:t xml:space="preserve">(2011). Comparative evaluation of three commercially available complement fixation test antigens for the diagnosis of glanders. </w:t>
      </w:r>
      <w:r w:rsidRPr="007E51E0">
        <w:rPr>
          <w:i/>
          <w:lang w:val="en-IE"/>
        </w:rPr>
        <w:t>Vet. Rec</w:t>
      </w:r>
      <w:r w:rsidRPr="007E51E0">
        <w:rPr>
          <w:lang w:val="en-IE"/>
        </w:rPr>
        <w:t xml:space="preserve">., </w:t>
      </w:r>
      <w:r w:rsidRPr="007E51E0">
        <w:rPr>
          <w:b/>
          <w:lang w:val="en-IE"/>
        </w:rPr>
        <w:t>169</w:t>
      </w:r>
      <w:r w:rsidRPr="007E51E0">
        <w:rPr>
          <w:lang w:val="en-IE"/>
        </w:rPr>
        <w:t xml:space="preserve">, 495. </w:t>
      </w:r>
    </w:p>
    <w:p w14:paraId="18178069" w14:textId="49FE29CE" w:rsidR="008C4074" w:rsidRPr="007E51E0" w:rsidRDefault="00404D7A" w:rsidP="00945E84">
      <w:pPr>
        <w:pStyle w:val="Ref"/>
        <w:tabs>
          <w:tab w:val="clear" w:pos="-720"/>
          <w:tab w:val="left" w:pos="1384"/>
        </w:tabs>
        <w:rPr>
          <w:lang w:val="en-IE"/>
        </w:rPr>
      </w:pPr>
      <w:r w:rsidRPr="007E51E0">
        <w:rPr>
          <w:smallCaps/>
          <w:lang w:val="en-IE"/>
        </w:rPr>
        <w:t>Kingsley P</w:t>
      </w:r>
      <w:r w:rsidR="00BC16FF" w:rsidRPr="007E51E0">
        <w:rPr>
          <w:smallCaps/>
          <w:lang w:val="en-IE"/>
        </w:rPr>
        <w:t>.</w:t>
      </w:r>
      <w:r w:rsidRPr="007E51E0">
        <w:rPr>
          <w:smallCaps/>
          <w:lang w:val="en-IE"/>
        </w:rPr>
        <w:t>V</w:t>
      </w:r>
      <w:r w:rsidR="00BC16FF" w:rsidRPr="007E51E0">
        <w:rPr>
          <w:smallCaps/>
          <w:lang w:val="en-IE"/>
        </w:rPr>
        <w:t>.</w:t>
      </w:r>
      <w:r w:rsidRPr="007E51E0">
        <w:rPr>
          <w:smallCaps/>
          <w:lang w:val="en-IE"/>
        </w:rPr>
        <w:t>, Arunkumar G</w:t>
      </w:r>
      <w:r w:rsidR="00BC16FF" w:rsidRPr="007E51E0">
        <w:rPr>
          <w:smallCaps/>
          <w:lang w:val="en-IE"/>
        </w:rPr>
        <w:t>.</w:t>
      </w:r>
      <w:r w:rsidRPr="007E51E0">
        <w:rPr>
          <w:smallCaps/>
          <w:lang w:val="en-IE"/>
        </w:rPr>
        <w:t>, Tipre M</w:t>
      </w:r>
      <w:r w:rsidR="00BC16FF" w:rsidRPr="007E51E0">
        <w:rPr>
          <w:smallCaps/>
          <w:lang w:val="en-IE"/>
        </w:rPr>
        <w:t>.</w:t>
      </w:r>
      <w:r w:rsidRPr="007E51E0">
        <w:rPr>
          <w:smallCaps/>
          <w:lang w:val="en-IE"/>
        </w:rPr>
        <w:t>, Leader M</w:t>
      </w:r>
      <w:r w:rsidR="00BC16FF" w:rsidRPr="007E51E0">
        <w:rPr>
          <w:smallCaps/>
          <w:lang w:val="en-IE"/>
        </w:rPr>
        <w:t>. &amp;</w:t>
      </w:r>
      <w:r w:rsidRPr="007E51E0">
        <w:rPr>
          <w:smallCaps/>
          <w:lang w:val="en-IE"/>
        </w:rPr>
        <w:t xml:space="preserve"> Sathiakumar N.</w:t>
      </w:r>
      <w:r w:rsidRPr="007E51E0">
        <w:rPr>
          <w:lang w:val="en-IE"/>
        </w:rPr>
        <w:t xml:space="preserve"> (2016</w:t>
      </w:r>
      <w:r w:rsidR="00A271B5" w:rsidRPr="007E51E0">
        <w:rPr>
          <w:lang w:val="en-IE"/>
        </w:rPr>
        <w:t>a</w:t>
      </w:r>
      <w:r w:rsidRPr="007E51E0">
        <w:rPr>
          <w:lang w:val="en-IE"/>
        </w:rPr>
        <w:t xml:space="preserve">). Pitfalls and optimal approaches to diagnose melioidosis. </w:t>
      </w:r>
      <w:r w:rsidRPr="007E51E0">
        <w:rPr>
          <w:i/>
          <w:lang w:val="en-IE"/>
        </w:rPr>
        <w:t>Asian Pac</w:t>
      </w:r>
      <w:r w:rsidR="00BC16FF" w:rsidRPr="007E51E0">
        <w:rPr>
          <w:i/>
          <w:lang w:val="en-IE"/>
        </w:rPr>
        <w:t>.</w:t>
      </w:r>
      <w:r w:rsidRPr="007E51E0">
        <w:rPr>
          <w:i/>
          <w:lang w:val="en-IE"/>
        </w:rPr>
        <w:t xml:space="preserve"> J</w:t>
      </w:r>
      <w:r w:rsidR="00BC16FF" w:rsidRPr="007E51E0">
        <w:rPr>
          <w:i/>
          <w:lang w:val="en-IE"/>
        </w:rPr>
        <w:t>.</w:t>
      </w:r>
      <w:r w:rsidRPr="007E51E0">
        <w:rPr>
          <w:i/>
          <w:lang w:val="en-IE"/>
        </w:rPr>
        <w:t xml:space="preserve"> Trop</w:t>
      </w:r>
      <w:r w:rsidR="00BC16FF" w:rsidRPr="007E51E0">
        <w:rPr>
          <w:i/>
          <w:lang w:val="en-IE"/>
        </w:rPr>
        <w:t>.</w:t>
      </w:r>
      <w:r w:rsidRPr="007E51E0">
        <w:rPr>
          <w:i/>
          <w:lang w:val="en-IE"/>
        </w:rPr>
        <w:t xml:space="preserve"> Med.</w:t>
      </w:r>
      <w:r w:rsidR="00BC16FF" w:rsidRPr="007E51E0">
        <w:rPr>
          <w:i/>
          <w:lang w:val="en-IE"/>
        </w:rPr>
        <w:t>,</w:t>
      </w:r>
      <w:r w:rsidRPr="007E51E0">
        <w:rPr>
          <w:lang w:val="en-IE"/>
        </w:rPr>
        <w:t xml:space="preserve"> </w:t>
      </w:r>
      <w:r w:rsidRPr="007E51E0">
        <w:rPr>
          <w:b/>
          <w:lang w:val="en-IE"/>
        </w:rPr>
        <w:t>9</w:t>
      </w:r>
      <w:r w:rsidR="00BC16FF" w:rsidRPr="007E51E0">
        <w:rPr>
          <w:lang w:val="en-IE"/>
        </w:rPr>
        <w:t xml:space="preserve">, </w:t>
      </w:r>
      <w:r w:rsidRPr="007E51E0">
        <w:rPr>
          <w:lang w:val="en-IE"/>
        </w:rPr>
        <w:t>515</w:t>
      </w:r>
      <w:r w:rsidR="00BC16FF" w:rsidRPr="007E51E0">
        <w:rPr>
          <w:lang w:val="en-IE"/>
        </w:rPr>
        <w:t>–5</w:t>
      </w:r>
      <w:r w:rsidRPr="007E51E0">
        <w:rPr>
          <w:lang w:val="en-IE"/>
        </w:rPr>
        <w:t>24.</w:t>
      </w:r>
    </w:p>
    <w:p w14:paraId="25EF6B7A" w14:textId="16B3372C" w:rsidR="00A271B5" w:rsidRPr="000538CC" w:rsidRDefault="00A271B5" w:rsidP="00945E84">
      <w:pPr>
        <w:pStyle w:val="Ref"/>
        <w:rPr>
          <w:lang w:val="en-IE"/>
        </w:rPr>
      </w:pPr>
      <w:r w:rsidRPr="007E51E0">
        <w:rPr>
          <w:smallCaps/>
          <w:lang w:val="en-IE"/>
        </w:rPr>
        <w:t xml:space="preserve">Kingsley P.V., Leader M., </w:t>
      </w:r>
      <w:proofErr w:type="spellStart"/>
      <w:r w:rsidRPr="007E51E0">
        <w:rPr>
          <w:smallCaps/>
          <w:lang w:val="en-IE"/>
        </w:rPr>
        <w:t>Nagodawithana</w:t>
      </w:r>
      <w:proofErr w:type="spellEnd"/>
      <w:r w:rsidRPr="007E51E0">
        <w:rPr>
          <w:smallCaps/>
          <w:lang w:val="en-IE"/>
        </w:rPr>
        <w:t xml:space="preserve"> N.S., Tipre M. &amp; Sathiakumar N.</w:t>
      </w:r>
      <w:r w:rsidRPr="007E51E0">
        <w:rPr>
          <w:lang w:val="en-IE"/>
        </w:rPr>
        <w:t xml:space="preserve"> (2016b). Melioidosis in Malaysia: A review of case reports. </w:t>
      </w:r>
      <w:proofErr w:type="spellStart"/>
      <w:r w:rsidRPr="007E51E0">
        <w:rPr>
          <w:i/>
          <w:lang w:val="en-IE"/>
        </w:rPr>
        <w:t>PLoS</w:t>
      </w:r>
      <w:proofErr w:type="spellEnd"/>
      <w:r w:rsidRPr="007E51E0">
        <w:rPr>
          <w:i/>
          <w:lang w:val="en-IE"/>
        </w:rPr>
        <w:t xml:space="preserve"> </w:t>
      </w:r>
      <w:proofErr w:type="spellStart"/>
      <w:r w:rsidRPr="007E51E0">
        <w:rPr>
          <w:i/>
          <w:lang w:val="en-IE"/>
        </w:rPr>
        <w:t>Negl</w:t>
      </w:r>
      <w:proofErr w:type="spellEnd"/>
      <w:r w:rsidRPr="007E51E0">
        <w:rPr>
          <w:i/>
          <w:lang w:val="en-IE"/>
        </w:rPr>
        <w:t xml:space="preserve">. </w:t>
      </w:r>
      <w:r w:rsidRPr="000538CC">
        <w:rPr>
          <w:i/>
          <w:lang w:val="en-IE"/>
        </w:rPr>
        <w:t>Trop. Dis.,</w:t>
      </w:r>
      <w:r w:rsidRPr="000538CC">
        <w:rPr>
          <w:lang w:val="en-IE"/>
        </w:rPr>
        <w:t xml:space="preserve"> </w:t>
      </w:r>
      <w:r w:rsidRPr="000538CC">
        <w:rPr>
          <w:b/>
          <w:lang w:val="en-IE"/>
        </w:rPr>
        <w:t>10</w:t>
      </w:r>
      <w:r w:rsidRPr="000538CC">
        <w:rPr>
          <w:lang w:val="en-IE"/>
        </w:rPr>
        <w:t>, e0005182.</w:t>
      </w:r>
    </w:p>
    <w:p w14:paraId="4B971974" w14:textId="1E14EC38" w:rsidR="007E56A8" w:rsidRPr="007E51E0" w:rsidRDefault="007E56A8" w:rsidP="00945E84">
      <w:pPr>
        <w:pStyle w:val="Ref"/>
        <w:tabs>
          <w:tab w:val="clear" w:pos="-720"/>
          <w:tab w:val="left" w:pos="1384"/>
        </w:tabs>
        <w:rPr>
          <w:lang w:val="en-IE"/>
        </w:rPr>
      </w:pPr>
      <w:r w:rsidRPr="000538CC">
        <w:rPr>
          <w:smallCaps/>
          <w:lang w:val="en-IE"/>
        </w:rPr>
        <w:t>Kumar S., Malik P., Verma S.K., Pal V., Gautam V., Mukhopadhyay C. &amp; Rai G.P.</w:t>
      </w:r>
      <w:r w:rsidRPr="000538CC">
        <w:rPr>
          <w:lang w:val="en-IE"/>
        </w:rPr>
        <w:t xml:space="preserve"> (2011). </w:t>
      </w:r>
      <w:r w:rsidRPr="007E51E0">
        <w:rPr>
          <w:lang w:val="en-IE"/>
        </w:rPr>
        <w:t xml:space="preserve">Use of a recombinant </w:t>
      </w:r>
      <w:proofErr w:type="spellStart"/>
      <w:r w:rsidRPr="007E51E0">
        <w:rPr>
          <w:i/>
          <w:lang w:val="en-IE"/>
        </w:rPr>
        <w:t>Burkholderia</w:t>
      </w:r>
      <w:proofErr w:type="spellEnd"/>
      <w:r w:rsidRPr="007E51E0">
        <w:rPr>
          <w:lang w:val="en-IE"/>
        </w:rPr>
        <w:t xml:space="preserve"> intracellular motility a protein for </w:t>
      </w:r>
      <w:proofErr w:type="spellStart"/>
      <w:r w:rsidRPr="007E51E0">
        <w:rPr>
          <w:lang w:val="en-IE"/>
        </w:rPr>
        <w:t>immunodiagnosis</w:t>
      </w:r>
      <w:proofErr w:type="spellEnd"/>
      <w:r w:rsidRPr="007E51E0">
        <w:rPr>
          <w:lang w:val="en-IE"/>
        </w:rPr>
        <w:t xml:space="preserve"> of glanders. </w:t>
      </w:r>
      <w:r w:rsidRPr="007E51E0">
        <w:rPr>
          <w:i/>
          <w:lang w:val="en-IE"/>
        </w:rPr>
        <w:t>Clin. Vaccine Immunol.,</w:t>
      </w:r>
      <w:r w:rsidRPr="007E51E0">
        <w:rPr>
          <w:lang w:val="en-IE"/>
        </w:rPr>
        <w:t xml:space="preserve"> </w:t>
      </w:r>
      <w:r w:rsidRPr="007E51E0">
        <w:rPr>
          <w:b/>
          <w:lang w:val="en-IE"/>
        </w:rPr>
        <w:t>18</w:t>
      </w:r>
      <w:r w:rsidRPr="007E51E0">
        <w:rPr>
          <w:lang w:val="en-IE"/>
        </w:rPr>
        <w:t>, 1456–1461.</w:t>
      </w:r>
    </w:p>
    <w:p w14:paraId="38D486A4" w14:textId="4098E412" w:rsidR="00404D7A" w:rsidRPr="007E51E0" w:rsidRDefault="00404D7A" w:rsidP="00945E84">
      <w:pPr>
        <w:pStyle w:val="Ref"/>
        <w:tabs>
          <w:tab w:val="clear" w:pos="-720"/>
          <w:tab w:val="left" w:pos="1384"/>
        </w:tabs>
        <w:rPr>
          <w:lang w:val="en-IE"/>
        </w:rPr>
      </w:pPr>
      <w:r w:rsidRPr="007E51E0">
        <w:rPr>
          <w:smallCaps/>
          <w:lang w:val="en-IE"/>
        </w:rPr>
        <w:t>Lau S.K., Sridhar S., Ho C.C., Chow W.N., Lee K.C., Lam C.W., Yuen K.Y.</w:t>
      </w:r>
      <w:r w:rsidR="00BC16FF" w:rsidRPr="007E51E0">
        <w:rPr>
          <w:smallCaps/>
          <w:lang w:val="en-IE"/>
        </w:rPr>
        <w:t xml:space="preserve"> &amp;</w:t>
      </w:r>
      <w:r w:rsidRPr="007E51E0">
        <w:rPr>
          <w:smallCaps/>
          <w:lang w:val="en-IE"/>
        </w:rPr>
        <w:t xml:space="preserve"> Woo P.C.</w:t>
      </w:r>
      <w:r w:rsidRPr="007E51E0">
        <w:rPr>
          <w:lang w:val="en-IE"/>
        </w:rPr>
        <w:t xml:space="preserve"> (2015). Laboratory diagnosis of melioidosis: past, present and future. </w:t>
      </w:r>
      <w:r w:rsidRPr="007E51E0">
        <w:rPr>
          <w:i/>
          <w:lang w:val="en-IE"/>
        </w:rPr>
        <w:t>Exp</w:t>
      </w:r>
      <w:r w:rsidR="00BC16FF" w:rsidRPr="007E51E0">
        <w:rPr>
          <w:i/>
          <w:lang w:val="en-IE"/>
        </w:rPr>
        <w:t>.</w:t>
      </w:r>
      <w:r w:rsidRPr="007E51E0">
        <w:rPr>
          <w:i/>
          <w:lang w:val="en-IE"/>
        </w:rPr>
        <w:t xml:space="preserve"> Biol</w:t>
      </w:r>
      <w:r w:rsidR="00BC16FF" w:rsidRPr="007E51E0">
        <w:rPr>
          <w:i/>
          <w:lang w:val="en-IE"/>
        </w:rPr>
        <w:t>.</w:t>
      </w:r>
      <w:r w:rsidRPr="007E51E0">
        <w:rPr>
          <w:i/>
          <w:lang w:val="en-IE"/>
        </w:rPr>
        <w:t xml:space="preserve"> Med</w:t>
      </w:r>
      <w:r w:rsidR="00BC16FF" w:rsidRPr="007E51E0">
        <w:rPr>
          <w:lang w:val="en-IE"/>
        </w:rPr>
        <w:t>.</w:t>
      </w:r>
      <w:r w:rsidRPr="007E51E0">
        <w:rPr>
          <w:lang w:val="en-IE"/>
        </w:rPr>
        <w:t xml:space="preserve"> (Maywood)</w:t>
      </w:r>
      <w:r w:rsidR="00BC16FF" w:rsidRPr="007E51E0">
        <w:rPr>
          <w:lang w:val="en-IE"/>
        </w:rPr>
        <w:t>,</w:t>
      </w:r>
      <w:r w:rsidRPr="007E51E0">
        <w:rPr>
          <w:lang w:val="en-IE"/>
        </w:rPr>
        <w:t xml:space="preserve"> </w:t>
      </w:r>
      <w:r w:rsidRPr="007E51E0">
        <w:rPr>
          <w:b/>
          <w:lang w:val="en-IE"/>
        </w:rPr>
        <w:t>240</w:t>
      </w:r>
      <w:r w:rsidR="00BC16FF" w:rsidRPr="007E51E0">
        <w:rPr>
          <w:lang w:val="en-IE"/>
        </w:rPr>
        <w:t xml:space="preserve">, </w:t>
      </w:r>
      <w:r w:rsidRPr="007E51E0">
        <w:rPr>
          <w:lang w:val="en-IE"/>
        </w:rPr>
        <w:t>742</w:t>
      </w:r>
      <w:r w:rsidR="00BC16FF" w:rsidRPr="007E51E0">
        <w:rPr>
          <w:lang w:val="en-IE"/>
        </w:rPr>
        <w:t>–7</w:t>
      </w:r>
      <w:r w:rsidRPr="007E51E0">
        <w:rPr>
          <w:lang w:val="en-IE"/>
        </w:rPr>
        <w:t>51.</w:t>
      </w:r>
    </w:p>
    <w:p w14:paraId="74286B41" w14:textId="630A7416" w:rsidR="000B0EC9" w:rsidRPr="007E51E0" w:rsidRDefault="000B0EC9" w:rsidP="00945E84">
      <w:pPr>
        <w:pStyle w:val="Ref"/>
        <w:tabs>
          <w:tab w:val="clear" w:pos="-720"/>
          <w:tab w:val="left" w:pos="1384"/>
        </w:tabs>
        <w:rPr>
          <w:lang w:val="en-IE"/>
        </w:rPr>
      </w:pPr>
      <w:proofErr w:type="spellStart"/>
      <w:r w:rsidRPr="007E51E0">
        <w:rPr>
          <w:smallCaps/>
          <w:lang w:val="en-IE"/>
        </w:rPr>
        <w:t>Limmathurotsakul</w:t>
      </w:r>
      <w:proofErr w:type="spellEnd"/>
      <w:r w:rsidRPr="007E51E0">
        <w:rPr>
          <w:smallCaps/>
          <w:lang w:val="en-IE"/>
        </w:rPr>
        <w:t xml:space="preserve"> D</w:t>
      </w:r>
      <w:r w:rsidR="00404D7A" w:rsidRPr="007E51E0">
        <w:rPr>
          <w:smallCaps/>
          <w:lang w:val="en-IE"/>
        </w:rPr>
        <w:t>.</w:t>
      </w:r>
      <w:r w:rsidRPr="007E51E0">
        <w:rPr>
          <w:smallCaps/>
          <w:lang w:val="en-IE"/>
        </w:rPr>
        <w:t xml:space="preserve">, </w:t>
      </w:r>
      <w:proofErr w:type="spellStart"/>
      <w:r w:rsidRPr="007E51E0">
        <w:rPr>
          <w:smallCaps/>
          <w:lang w:val="en-IE"/>
        </w:rPr>
        <w:t>Wuthiekanun</w:t>
      </w:r>
      <w:proofErr w:type="spellEnd"/>
      <w:r w:rsidRPr="007E51E0">
        <w:rPr>
          <w:smallCaps/>
          <w:lang w:val="en-IE"/>
        </w:rPr>
        <w:t xml:space="preserve"> V</w:t>
      </w:r>
      <w:r w:rsidR="00404D7A" w:rsidRPr="007E51E0">
        <w:rPr>
          <w:smallCaps/>
          <w:lang w:val="en-IE"/>
        </w:rPr>
        <w:t>.</w:t>
      </w:r>
      <w:r w:rsidRPr="007E51E0">
        <w:rPr>
          <w:smallCaps/>
          <w:lang w:val="en-IE"/>
        </w:rPr>
        <w:t>, Amornchai P</w:t>
      </w:r>
      <w:r w:rsidR="00404D7A" w:rsidRPr="007E51E0">
        <w:rPr>
          <w:smallCaps/>
          <w:lang w:val="en-IE"/>
        </w:rPr>
        <w:t>.</w:t>
      </w:r>
      <w:r w:rsidRPr="007E51E0">
        <w:rPr>
          <w:smallCaps/>
          <w:lang w:val="en-IE"/>
        </w:rPr>
        <w:t>, Wongsuwan G</w:t>
      </w:r>
      <w:r w:rsidR="00404D7A" w:rsidRPr="007E51E0">
        <w:rPr>
          <w:smallCaps/>
          <w:lang w:val="en-IE"/>
        </w:rPr>
        <w:t>.</w:t>
      </w:r>
      <w:r w:rsidRPr="007E51E0">
        <w:rPr>
          <w:smallCaps/>
          <w:lang w:val="en-IE"/>
        </w:rPr>
        <w:t>, Day N</w:t>
      </w:r>
      <w:r w:rsidR="00404D7A" w:rsidRPr="007E51E0">
        <w:rPr>
          <w:smallCaps/>
          <w:lang w:val="en-IE"/>
        </w:rPr>
        <w:t>.</w:t>
      </w:r>
      <w:r w:rsidRPr="007E51E0">
        <w:rPr>
          <w:smallCaps/>
          <w:lang w:val="en-IE"/>
        </w:rPr>
        <w:t>P</w:t>
      </w:r>
      <w:r w:rsidR="00404D7A" w:rsidRPr="007E51E0">
        <w:rPr>
          <w:smallCaps/>
          <w:lang w:val="en-IE"/>
        </w:rPr>
        <w:t>.</w:t>
      </w:r>
      <w:r w:rsidR="00BC16FF" w:rsidRPr="007E51E0">
        <w:rPr>
          <w:smallCaps/>
          <w:lang w:val="en-IE"/>
        </w:rPr>
        <w:t xml:space="preserve"> &amp;</w:t>
      </w:r>
      <w:r w:rsidRPr="007E51E0">
        <w:rPr>
          <w:smallCaps/>
          <w:lang w:val="en-IE"/>
        </w:rPr>
        <w:t xml:space="preserve"> Peacock S</w:t>
      </w:r>
      <w:r w:rsidR="00404D7A" w:rsidRPr="007E51E0">
        <w:rPr>
          <w:smallCaps/>
          <w:lang w:val="en-IE"/>
        </w:rPr>
        <w:t>.</w:t>
      </w:r>
      <w:r w:rsidRPr="007E51E0">
        <w:rPr>
          <w:smallCaps/>
          <w:lang w:val="en-IE"/>
        </w:rPr>
        <w:t>J.</w:t>
      </w:r>
      <w:r w:rsidRPr="007E51E0">
        <w:rPr>
          <w:lang w:val="en-IE"/>
        </w:rPr>
        <w:t xml:space="preserve"> (2012). Effectiveness of a simplified method for isolation of </w:t>
      </w:r>
      <w:proofErr w:type="spellStart"/>
      <w:r w:rsidRPr="007E51E0">
        <w:rPr>
          <w:i/>
          <w:lang w:val="en-IE"/>
        </w:rPr>
        <w:t>Burkholderia</w:t>
      </w:r>
      <w:proofErr w:type="spellEnd"/>
      <w:r w:rsidRPr="007E51E0">
        <w:rPr>
          <w:i/>
          <w:lang w:val="en-IE"/>
        </w:rPr>
        <w:t xml:space="preserve"> </w:t>
      </w:r>
      <w:proofErr w:type="spellStart"/>
      <w:r w:rsidRPr="007E51E0">
        <w:rPr>
          <w:i/>
          <w:lang w:val="en-IE"/>
        </w:rPr>
        <w:t>pseudomallei</w:t>
      </w:r>
      <w:proofErr w:type="spellEnd"/>
      <w:r w:rsidRPr="007E51E0">
        <w:rPr>
          <w:lang w:val="en-IE"/>
        </w:rPr>
        <w:t xml:space="preserve"> from soil. </w:t>
      </w:r>
      <w:r w:rsidRPr="007E51E0">
        <w:rPr>
          <w:i/>
          <w:lang w:val="en-IE"/>
        </w:rPr>
        <w:t>Appl</w:t>
      </w:r>
      <w:r w:rsidR="00A271B5" w:rsidRPr="007E51E0">
        <w:rPr>
          <w:i/>
          <w:lang w:val="en-IE"/>
        </w:rPr>
        <w:t>.</w:t>
      </w:r>
      <w:r w:rsidRPr="007E51E0">
        <w:rPr>
          <w:i/>
          <w:lang w:val="en-IE"/>
        </w:rPr>
        <w:t xml:space="preserve"> Environ</w:t>
      </w:r>
      <w:r w:rsidR="00BC16FF" w:rsidRPr="007E51E0">
        <w:rPr>
          <w:i/>
          <w:lang w:val="en-IE"/>
        </w:rPr>
        <w:t>,</w:t>
      </w:r>
      <w:r w:rsidRPr="007E51E0">
        <w:rPr>
          <w:i/>
          <w:lang w:val="en-IE"/>
        </w:rPr>
        <w:t xml:space="preserve"> </w:t>
      </w:r>
      <w:proofErr w:type="spellStart"/>
      <w:r w:rsidRPr="007E51E0">
        <w:rPr>
          <w:i/>
          <w:lang w:val="en-IE"/>
        </w:rPr>
        <w:t>Microbiol</w:t>
      </w:r>
      <w:proofErr w:type="spellEnd"/>
      <w:r w:rsidRPr="007E51E0">
        <w:rPr>
          <w:i/>
          <w:lang w:val="en-IE"/>
        </w:rPr>
        <w:t>.</w:t>
      </w:r>
      <w:r w:rsidR="00BC16FF" w:rsidRPr="007E51E0">
        <w:rPr>
          <w:i/>
          <w:lang w:val="en-IE"/>
        </w:rPr>
        <w:t>,</w:t>
      </w:r>
      <w:r w:rsidRPr="007E51E0">
        <w:rPr>
          <w:lang w:val="en-IE"/>
        </w:rPr>
        <w:t xml:space="preserve"> </w:t>
      </w:r>
      <w:r w:rsidRPr="007E51E0">
        <w:rPr>
          <w:b/>
          <w:lang w:val="en-IE"/>
        </w:rPr>
        <w:t>78</w:t>
      </w:r>
      <w:r w:rsidR="00BC16FF" w:rsidRPr="007E51E0">
        <w:rPr>
          <w:lang w:val="en-IE"/>
        </w:rPr>
        <w:t xml:space="preserve">, </w:t>
      </w:r>
      <w:r w:rsidRPr="007E51E0">
        <w:rPr>
          <w:lang w:val="en-IE"/>
        </w:rPr>
        <w:t>876</w:t>
      </w:r>
      <w:r w:rsidR="00BC16FF" w:rsidRPr="007E51E0">
        <w:rPr>
          <w:lang w:val="en-IE"/>
        </w:rPr>
        <w:t>–87</w:t>
      </w:r>
      <w:r w:rsidRPr="007E51E0">
        <w:rPr>
          <w:lang w:val="en-IE"/>
        </w:rPr>
        <w:t>7.</w:t>
      </w:r>
    </w:p>
    <w:p w14:paraId="59A6F9DD" w14:textId="74FEE2DA" w:rsidR="008D30CA" w:rsidRPr="007E51E0" w:rsidRDefault="008D30CA" w:rsidP="00945E84">
      <w:pPr>
        <w:pStyle w:val="Ref"/>
        <w:tabs>
          <w:tab w:val="clear" w:pos="-720"/>
          <w:tab w:val="left" w:pos="1384"/>
        </w:tabs>
        <w:rPr>
          <w:lang w:val="en-IE"/>
        </w:rPr>
      </w:pPr>
      <w:proofErr w:type="spellStart"/>
      <w:r w:rsidRPr="007E51E0">
        <w:rPr>
          <w:smallCaps/>
          <w:lang w:val="en-IE"/>
        </w:rPr>
        <w:t>Limmathurotsakul</w:t>
      </w:r>
      <w:proofErr w:type="spellEnd"/>
      <w:r w:rsidRPr="007E51E0">
        <w:rPr>
          <w:smallCaps/>
          <w:lang w:val="en-IE"/>
        </w:rPr>
        <w:t xml:space="preserve"> D., Golding N., Dance D.A., Messina J.P., Pigott D.M., Moyes C.L., Rolim D.B., </w:t>
      </w:r>
      <w:proofErr w:type="spellStart"/>
      <w:r w:rsidRPr="007E51E0">
        <w:rPr>
          <w:smallCaps/>
          <w:lang w:val="en-IE"/>
        </w:rPr>
        <w:t>Bertherat</w:t>
      </w:r>
      <w:proofErr w:type="spellEnd"/>
      <w:r w:rsidRPr="007E51E0">
        <w:rPr>
          <w:smallCaps/>
          <w:lang w:val="en-IE"/>
        </w:rPr>
        <w:t xml:space="preserve"> E., Day N.P., Peacock S.J.</w:t>
      </w:r>
      <w:r w:rsidR="00BC16FF" w:rsidRPr="007E51E0">
        <w:rPr>
          <w:smallCaps/>
          <w:lang w:val="en-IE"/>
        </w:rPr>
        <w:t xml:space="preserve"> &amp; </w:t>
      </w:r>
      <w:r w:rsidRPr="007E51E0">
        <w:rPr>
          <w:smallCaps/>
          <w:lang w:val="en-IE"/>
        </w:rPr>
        <w:t>Hay S.I.</w:t>
      </w:r>
      <w:r w:rsidRPr="007E51E0">
        <w:rPr>
          <w:lang w:val="en-IE"/>
        </w:rPr>
        <w:t xml:space="preserve"> (2016). Predicted global distribution of </w:t>
      </w:r>
      <w:proofErr w:type="spellStart"/>
      <w:r w:rsidRPr="007E51E0">
        <w:rPr>
          <w:i/>
          <w:lang w:val="en-IE"/>
        </w:rPr>
        <w:t>Burkholderia</w:t>
      </w:r>
      <w:proofErr w:type="spellEnd"/>
      <w:r w:rsidRPr="007E51E0">
        <w:rPr>
          <w:i/>
          <w:lang w:val="en-IE"/>
        </w:rPr>
        <w:t xml:space="preserve"> </w:t>
      </w:r>
      <w:proofErr w:type="spellStart"/>
      <w:r w:rsidRPr="007E51E0">
        <w:rPr>
          <w:i/>
          <w:lang w:val="en-IE"/>
        </w:rPr>
        <w:t>pseudomallei</w:t>
      </w:r>
      <w:proofErr w:type="spellEnd"/>
      <w:r w:rsidRPr="007E51E0">
        <w:rPr>
          <w:lang w:val="en-IE"/>
        </w:rPr>
        <w:t xml:space="preserve"> and burden of melioidosis. </w:t>
      </w:r>
      <w:r w:rsidRPr="007E51E0">
        <w:rPr>
          <w:i/>
          <w:lang w:val="en-IE"/>
        </w:rPr>
        <w:t>Nat</w:t>
      </w:r>
      <w:r w:rsidR="00BC16FF" w:rsidRPr="007E51E0">
        <w:rPr>
          <w:i/>
          <w:lang w:val="en-IE"/>
        </w:rPr>
        <w:t>.</w:t>
      </w:r>
      <w:r w:rsidRPr="007E51E0">
        <w:rPr>
          <w:i/>
          <w:lang w:val="en-IE"/>
        </w:rPr>
        <w:t xml:space="preserve"> </w:t>
      </w:r>
      <w:proofErr w:type="spellStart"/>
      <w:r w:rsidRPr="007E51E0">
        <w:rPr>
          <w:i/>
          <w:lang w:val="en-IE"/>
        </w:rPr>
        <w:t>Microbiol</w:t>
      </w:r>
      <w:proofErr w:type="spellEnd"/>
      <w:r w:rsidRPr="007E51E0">
        <w:rPr>
          <w:lang w:val="en-IE"/>
        </w:rPr>
        <w:t>.</w:t>
      </w:r>
      <w:r w:rsidR="00BC16FF" w:rsidRPr="007E51E0">
        <w:rPr>
          <w:lang w:val="en-IE"/>
        </w:rPr>
        <w:t>,</w:t>
      </w:r>
      <w:r w:rsidRPr="007E51E0">
        <w:rPr>
          <w:lang w:val="en-IE"/>
        </w:rPr>
        <w:t xml:space="preserve"> </w:t>
      </w:r>
      <w:r w:rsidRPr="007E51E0">
        <w:rPr>
          <w:b/>
          <w:lang w:val="en-IE"/>
        </w:rPr>
        <w:t>1</w:t>
      </w:r>
      <w:r w:rsidR="00BC16FF" w:rsidRPr="007E51E0">
        <w:rPr>
          <w:lang w:val="en-IE"/>
        </w:rPr>
        <w:t xml:space="preserve">, </w:t>
      </w:r>
      <w:r w:rsidRPr="007E51E0">
        <w:rPr>
          <w:lang w:val="en-IE"/>
        </w:rPr>
        <w:t>15008.</w:t>
      </w:r>
    </w:p>
    <w:p w14:paraId="33C870E6" w14:textId="77777777" w:rsidR="003458D6" w:rsidRDefault="003458D6" w:rsidP="00945E84">
      <w:pPr>
        <w:pStyle w:val="Ref"/>
        <w:tabs>
          <w:tab w:val="clear" w:pos="-720"/>
          <w:tab w:val="left" w:pos="1384"/>
        </w:tabs>
      </w:pPr>
      <w:r w:rsidRPr="003458D6">
        <w:rPr>
          <w:rStyle w:val="highlight"/>
          <w:rFonts w:cs="Arial"/>
          <w:smallCaps/>
        </w:rPr>
        <w:t>Lowe</w:t>
      </w:r>
      <w:r w:rsidRPr="003458D6">
        <w:rPr>
          <w:smallCaps/>
        </w:rPr>
        <w:t xml:space="preserve"> W., March J.K., Bunnell A.J., O’Neill K.L. &amp; Robison R.A</w:t>
      </w:r>
      <w:r w:rsidRPr="003458D6">
        <w:t xml:space="preserve">. (2014). PCR-based Methodologies Used to Detect and Differentiate the </w:t>
      </w:r>
      <w:proofErr w:type="spellStart"/>
      <w:r w:rsidRPr="003458D6">
        <w:rPr>
          <w:i/>
        </w:rPr>
        <w:t>Burkholderia</w:t>
      </w:r>
      <w:proofErr w:type="spellEnd"/>
      <w:r w:rsidRPr="003458D6">
        <w:rPr>
          <w:i/>
        </w:rPr>
        <w:t xml:space="preserve"> </w:t>
      </w:r>
      <w:proofErr w:type="spellStart"/>
      <w:r w:rsidRPr="003458D6">
        <w:rPr>
          <w:i/>
        </w:rPr>
        <w:t>pseudomallei</w:t>
      </w:r>
      <w:proofErr w:type="spellEnd"/>
      <w:r w:rsidRPr="003458D6">
        <w:t xml:space="preserve"> complex: </w:t>
      </w:r>
      <w:r w:rsidRPr="003458D6">
        <w:rPr>
          <w:i/>
        </w:rPr>
        <w:t xml:space="preserve">B. </w:t>
      </w:r>
      <w:proofErr w:type="spellStart"/>
      <w:r w:rsidRPr="003458D6">
        <w:rPr>
          <w:i/>
        </w:rPr>
        <w:t>pseudomallei</w:t>
      </w:r>
      <w:proofErr w:type="spellEnd"/>
      <w:r w:rsidRPr="003458D6">
        <w:rPr>
          <w:i/>
        </w:rPr>
        <w:t>, B. mallei</w:t>
      </w:r>
      <w:r w:rsidRPr="003458D6">
        <w:t xml:space="preserve">, and </w:t>
      </w:r>
      <w:r w:rsidRPr="003458D6">
        <w:rPr>
          <w:i/>
        </w:rPr>
        <w:t xml:space="preserve">B. </w:t>
      </w:r>
      <w:proofErr w:type="spellStart"/>
      <w:r w:rsidRPr="003458D6">
        <w:rPr>
          <w:i/>
        </w:rPr>
        <w:t>thailandensis</w:t>
      </w:r>
      <w:proofErr w:type="spellEnd"/>
      <w:r w:rsidRPr="003458D6">
        <w:rPr>
          <w:i/>
        </w:rPr>
        <w:t xml:space="preserve">. </w:t>
      </w:r>
      <w:proofErr w:type="spellStart"/>
      <w:r w:rsidRPr="003458D6">
        <w:rPr>
          <w:i/>
        </w:rPr>
        <w:t>Curr</w:t>
      </w:r>
      <w:proofErr w:type="spellEnd"/>
      <w:r w:rsidRPr="003458D6">
        <w:rPr>
          <w:i/>
        </w:rPr>
        <w:t>. Issues Mol. Biol.</w:t>
      </w:r>
      <w:r w:rsidRPr="003458D6">
        <w:t xml:space="preserve">, </w:t>
      </w:r>
      <w:r w:rsidRPr="003458D6">
        <w:rPr>
          <w:b/>
        </w:rPr>
        <w:t>16</w:t>
      </w:r>
      <w:r w:rsidRPr="003458D6">
        <w:t xml:space="preserve">, 23–54. </w:t>
      </w:r>
      <w:proofErr w:type="spellStart"/>
      <w:r w:rsidRPr="003458D6">
        <w:t>Epub</w:t>
      </w:r>
      <w:proofErr w:type="spellEnd"/>
      <w:r w:rsidRPr="003458D6">
        <w:t xml:space="preserve"> 2013 Aug 22.</w:t>
      </w:r>
    </w:p>
    <w:p w14:paraId="3E27D282" w14:textId="2B9FF3AF" w:rsidR="00FE3A87" w:rsidRPr="007E51E0" w:rsidRDefault="00FE3A87" w:rsidP="00945E84">
      <w:pPr>
        <w:pStyle w:val="Ref"/>
        <w:tabs>
          <w:tab w:val="clear" w:pos="-720"/>
          <w:tab w:val="left" w:pos="1384"/>
        </w:tabs>
        <w:rPr>
          <w:smallCaps/>
          <w:lang w:val="en-IE"/>
        </w:rPr>
      </w:pPr>
      <w:proofErr w:type="spellStart"/>
      <w:r w:rsidRPr="007E51E0">
        <w:rPr>
          <w:smallCaps/>
          <w:lang w:val="en-IE"/>
        </w:rPr>
        <w:t>McRobb</w:t>
      </w:r>
      <w:proofErr w:type="spellEnd"/>
      <w:r w:rsidRPr="007E51E0">
        <w:rPr>
          <w:smallCaps/>
          <w:lang w:val="en-IE"/>
        </w:rPr>
        <w:t xml:space="preserve"> E., </w:t>
      </w:r>
      <w:proofErr w:type="spellStart"/>
      <w:r w:rsidRPr="007E51E0">
        <w:rPr>
          <w:smallCaps/>
          <w:lang w:val="en-IE"/>
        </w:rPr>
        <w:t>Sarovich</w:t>
      </w:r>
      <w:proofErr w:type="spellEnd"/>
      <w:r w:rsidRPr="007E51E0">
        <w:rPr>
          <w:smallCaps/>
          <w:lang w:val="en-IE"/>
        </w:rPr>
        <w:t xml:space="preserve"> D.S., Price E.P., </w:t>
      </w:r>
      <w:proofErr w:type="spellStart"/>
      <w:r w:rsidRPr="007E51E0">
        <w:rPr>
          <w:smallCaps/>
          <w:lang w:val="en-IE"/>
        </w:rPr>
        <w:t>Kaestli</w:t>
      </w:r>
      <w:proofErr w:type="spellEnd"/>
      <w:r w:rsidRPr="007E51E0">
        <w:rPr>
          <w:smallCaps/>
          <w:lang w:val="en-IE"/>
        </w:rPr>
        <w:t xml:space="preserve"> M., Mayo M., Keim P.</w:t>
      </w:r>
      <w:r w:rsidR="00B37D9A" w:rsidRPr="007E51E0">
        <w:rPr>
          <w:smallCaps/>
          <w:lang w:val="en-IE"/>
        </w:rPr>
        <w:t xml:space="preserve"> &amp; </w:t>
      </w:r>
      <w:r w:rsidRPr="007E51E0">
        <w:rPr>
          <w:smallCaps/>
          <w:lang w:val="en-IE"/>
        </w:rPr>
        <w:t xml:space="preserve">Currie B.J. (2015). </w:t>
      </w:r>
      <w:r w:rsidRPr="007E51E0">
        <w:rPr>
          <w:lang w:val="en-IE"/>
        </w:rPr>
        <w:t xml:space="preserve">Tracing melioidosis back to the source: using whole-genome sequencing to investigate an outbreak originating from a contaminated domestic water supply. </w:t>
      </w:r>
      <w:r w:rsidRPr="007E51E0">
        <w:rPr>
          <w:i/>
          <w:lang w:val="en-IE"/>
        </w:rPr>
        <w:t>J</w:t>
      </w:r>
      <w:r w:rsidR="00B37D9A" w:rsidRPr="007E51E0">
        <w:rPr>
          <w:i/>
          <w:lang w:val="en-IE"/>
        </w:rPr>
        <w:t>.</w:t>
      </w:r>
      <w:r w:rsidRPr="007E51E0">
        <w:rPr>
          <w:i/>
          <w:lang w:val="en-IE"/>
        </w:rPr>
        <w:t xml:space="preserve"> Clin</w:t>
      </w:r>
      <w:r w:rsidR="00B37D9A" w:rsidRPr="007E51E0">
        <w:rPr>
          <w:i/>
          <w:lang w:val="en-IE"/>
        </w:rPr>
        <w:t>.</w:t>
      </w:r>
      <w:r w:rsidRPr="007E51E0">
        <w:rPr>
          <w:i/>
          <w:lang w:val="en-IE"/>
        </w:rPr>
        <w:t xml:space="preserve"> </w:t>
      </w:r>
      <w:proofErr w:type="spellStart"/>
      <w:r w:rsidRPr="007E51E0">
        <w:rPr>
          <w:i/>
          <w:lang w:val="en-IE"/>
        </w:rPr>
        <w:t>Microbiol</w:t>
      </w:r>
      <w:proofErr w:type="spellEnd"/>
      <w:r w:rsidRPr="007E51E0">
        <w:rPr>
          <w:lang w:val="en-IE"/>
        </w:rPr>
        <w:t>.</w:t>
      </w:r>
      <w:r w:rsidR="00B37D9A" w:rsidRPr="007E51E0">
        <w:rPr>
          <w:lang w:val="en-IE"/>
        </w:rPr>
        <w:t>,</w:t>
      </w:r>
      <w:r w:rsidRPr="007E51E0">
        <w:rPr>
          <w:lang w:val="en-IE"/>
        </w:rPr>
        <w:t xml:space="preserve"> </w:t>
      </w:r>
      <w:r w:rsidRPr="007E51E0">
        <w:rPr>
          <w:b/>
          <w:lang w:val="en-IE"/>
        </w:rPr>
        <w:t>53</w:t>
      </w:r>
      <w:r w:rsidR="00B37D9A" w:rsidRPr="007E51E0">
        <w:rPr>
          <w:lang w:val="en-IE"/>
        </w:rPr>
        <w:t xml:space="preserve">, </w:t>
      </w:r>
      <w:r w:rsidRPr="007E51E0">
        <w:rPr>
          <w:lang w:val="en-IE"/>
        </w:rPr>
        <w:t>1144</w:t>
      </w:r>
      <w:r w:rsidR="00B37D9A" w:rsidRPr="007E51E0">
        <w:rPr>
          <w:lang w:val="en-IE"/>
        </w:rPr>
        <w:t>–114</w:t>
      </w:r>
      <w:r w:rsidRPr="007E51E0">
        <w:rPr>
          <w:lang w:val="en-IE"/>
        </w:rPr>
        <w:t xml:space="preserve">8. </w:t>
      </w:r>
    </w:p>
    <w:p w14:paraId="02D0B3A8" w14:textId="000C99B8" w:rsidR="002078AA" w:rsidRPr="008016BD" w:rsidRDefault="002078AA" w:rsidP="00945E84">
      <w:pPr>
        <w:pStyle w:val="Ref"/>
        <w:tabs>
          <w:tab w:val="clear" w:pos="-720"/>
          <w:tab w:val="left" w:pos="1384"/>
        </w:tabs>
        <w:rPr>
          <w:lang w:val="de-DE"/>
        </w:rPr>
      </w:pPr>
      <w:r w:rsidRPr="007E51E0">
        <w:rPr>
          <w:smallCaps/>
          <w:lang w:val="en-IE"/>
        </w:rPr>
        <w:t>Naureen A., Saqib M., Muhammad G., Hussain M.H. &amp; Asi M.N.</w:t>
      </w:r>
      <w:r w:rsidRPr="007E51E0">
        <w:rPr>
          <w:lang w:val="en-IE"/>
        </w:rPr>
        <w:t xml:space="preserve"> (2007). Comparative evaluation of Rose Bengal plate agglutination test, </w:t>
      </w:r>
      <w:proofErr w:type="spellStart"/>
      <w:r w:rsidRPr="007E51E0">
        <w:rPr>
          <w:lang w:val="en-IE"/>
        </w:rPr>
        <w:t>mallein</w:t>
      </w:r>
      <w:proofErr w:type="spellEnd"/>
      <w:r w:rsidRPr="007E51E0">
        <w:rPr>
          <w:lang w:val="en-IE"/>
        </w:rPr>
        <w:t xml:space="preserve"> test, and some conventional serological tests for diagnosis of equine glanders. </w:t>
      </w:r>
      <w:r w:rsidRPr="008016BD">
        <w:rPr>
          <w:i/>
          <w:lang w:val="de-DE"/>
        </w:rPr>
        <w:t xml:space="preserve">J. Vet. </w:t>
      </w:r>
      <w:proofErr w:type="spellStart"/>
      <w:r w:rsidRPr="008016BD">
        <w:rPr>
          <w:i/>
          <w:lang w:val="de-DE"/>
        </w:rPr>
        <w:t>Diagn</w:t>
      </w:r>
      <w:proofErr w:type="spellEnd"/>
      <w:r w:rsidRPr="008016BD">
        <w:rPr>
          <w:i/>
          <w:lang w:val="de-DE"/>
        </w:rPr>
        <w:t xml:space="preserve">. </w:t>
      </w:r>
      <w:proofErr w:type="spellStart"/>
      <w:r w:rsidRPr="008016BD">
        <w:rPr>
          <w:i/>
          <w:lang w:val="de-DE"/>
        </w:rPr>
        <w:t>Invest</w:t>
      </w:r>
      <w:proofErr w:type="spellEnd"/>
      <w:r w:rsidRPr="008016BD">
        <w:rPr>
          <w:i/>
          <w:lang w:val="de-DE"/>
        </w:rPr>
        <w:t>.,</w:t>
      </w:r>
      <w:r w:rsidRPr="008016BD">
        <w:rPr>
          <w:lang w:val="de-DE"/>
        </w:rPr>
        <w:t xml:space="preserve"> </w:t>
      </w:r>
      <w:r w:rsidRPr="008016BD">
        <w:rPr>
          <w:b/>
          <w:lang w:val="de-DE"/>
        </w:rPr>
        <w:t>19</w:t>
      </w:r>
      <w:r w:rsidRPr="008016BD">
        <w:rPr>
          <w:lang w:val="de-DE"/>
        </w:rPr>
        <w:t>, 362–367.</w:t>
      </w:r>
    </w:p>
    <w:p w14:paraId="1B88E197" w14:textId="77777777" w:rsidR="002078AA" w:rsidRPr="007E51E0" w:rsidRDefault="002078AA" w:rsidP="00945E84">
      <w:pPr>
        <w:pStyle w:val="Ref"/>
        <w:tabs>
          <w:tab w:val="clear" w:pos="-720"/>
          <w:tab w:val="left" w:pos="1384"/>
        </w:tabs>
        <w:rPr>
          <w:lang w:val="en-IE"/>
        </w:rPr>
      </w:pPr>
      <w:r w:rsidRPr="008016BD">
        <w:rPr>
          <w:smallCaps/>
          <w:lang w:val="de-DE"/>
        </w:rPr>
        <w:t>Neubauer H., Finke E.-J. &amp; Meyer H.</w:t>
      </w:r>
      <w:r w:rsidRPr="008016BD">
        <w:rPr>
          <w:lang w:val="de-DE"/>
        </w:rPr>
        <w:t xml:space="preserve"> (1997). </w:t>
      </w:r>
      <w:r w:rsidRPr="007E51E0">
        <w:rPr>
          <w:lang w:val="en-IE"/>
        </w:rPr>
        <w:t xml:space="preserve">Human glanders. </w:t>
      </w:r>
      <w:r w:rsidRPr="007E51E0">
        <w:rPr>
          <w:i/>
          <w:lang w:val="en-IE"/>
        </w:rPr>
        <w:t>International Review of the Armed Forces Medical Services</w:t>
      </w:r>
      <w:r w:rsidRPr="007E51E0">
        <w:rPr>
          <w:lang w:val="en-IE"/>
        </w:rPr>
        <w:t xml:space="preserve">, </w:t>
      </w:r>
      <w:r w:rsidRPr="007E51E0">
        <w:rPr>
          <w:b/>
          <w:lang w:val="en-IE"/>
        </w:rPr>
        <w:t>LXX</w:t>
      </w:r>
      <w:r w:rsidRPr="007E51E0">
        <w:rPr>
          <w:lang w:val="en-IE"/>
        </w:rPr>
        <w:t>, 10/11/12, 258–265.</w:t>
      </w:r>
    </w:p>
    <w:p w14:paraId="6D43221D" w14:textId="77777777" w:rsidR="002078AA" w:rsidRPr="007E51E0" w:rsidRDefault="002078AA" w:rsidP="00945E84">
      <w:pPr>
        <w:pStyle w:val="Ref"/>
        <w:tabs>
          <w:tab w:val="clear" w:pos="-720"/>
          <w:tab w:val="left" w:pos="1384"/>
        </w:tabs>
        <w:rPr>
          <w:lang w:val="en-IE"/>
        </w:rPr>
      </w:pPr>
      <w:r w:rsidRPr="007E51E0">
        <w:rPr>
          <w:smallCaps/>
          <w:lang w:val="en-IE"/>
        </w:rPr>
        <w:t xml:space="preserve">Neubauer H., Sprague L.D., Zacharia R., Tomaso H., Al </w:t>
      </w:r>
      <w:proofErr w:type="spellStart"/>
      <w:r w:rsidRPr="007E51E0">
        <w:rPr>
          <w:smallCaps/>
          <w:lang w:val="en-IE"/>
        </w:rPr>
        <w:t>Dahouk</w:t>
      </w:r>
      <w:proofErr w:type="spellEnd"/>
      <w:r w:rsidRPr="007E51E0">
        <w:rPr>
          <w:smallCaps/>
          <w:lang w:val="en-IE"/>
        </w:rPr>
        <w:t xml:space="preserve"> S., </w:t>
      </w:r>
      <w:proofErr w:type="spellStart"/>
      <w:r w:rsidRPr="007E51E0">
        <w:rPr>
          <w:smallCaps/>
          <w:lang w:val="en-IE"/>
        </w:rPr>
        <w:t>Wernery</w:t>
      </w:r>
      <w:proofErr w:type="spellEnd"/>
      <w:r w:rsidRPr="007E51E0">
        <w:rPr>
          <w:smallCaps/>
          <w:lang w:val="en-IE"/>
        </w:rPr>
        <w:t xml:space="preserve"> R., </w:t>
      </w:r>
      <w:proofErr w:type="spellStart"/>
      <w:r w:rsidRPr="007E51E0">
        <w:rPr>
          <w:smallCaps/>
          <w:lang w:val="en-IE"/>
        </w:rPr>
        <w:t>Wernery</w:t>
      </w:r>
      <w:proofErr w:type="spellEnd"/>
      <w:r w:rsidRPr="007E51E0">
        <w:rPr>
          <w:smallCaps/>
          <w:lang w:val="en-IE"/>
        </w:rPr>
        <w:t xml:space="preserve"> U. &amp; Scholz H.C.</w:t>
      </w:r>
      <w:r w:rsidRPr="007E51E0">
        <w:rPr>
          <w:lang w:val="en-IE"/>
        </w:rPr>
        <w:t xml:space="preserve"> (2005). Serodiagnosis of </w:t>
      </w:r>
      <w:proofErr w:type="spellStart"/>
      <w:r w:rsidRPr="007E51E0">
        <w:rPr>
          <w:i/>
          <w:lang w:val="en-IE"/>
        </w:rPr>
        <w:t>Burkholderia</w:t>
      </w:r>
      <w:proofErr w:type="spellEnd"/>
      <w:r w:rsidRPr="007E51E0">
        <w:rPr>
          <w:i/>
          <w:lang w:val="en-IE"/>
        </w:rPr>
        <w:t xml:space="preserve"> mallei</w:t>
      </w:r>
      <w:r w:rsidRPr="007E51E0">
        <w:rPr>
          <w:lang w:val="en-IE"/>
        </w:rPr>
        <w:t xml:space="preserve"> infections in horses: state-of-the-art and perspectives. </w:t>
      </w:r>
      <w:r w:rsidRPr="007E51E0">
        <w:rPr>
          <w:i/>
          <w:lang w:val="en-IE"/>
        </w:rPr>
        <w:t xml:space="preserve">J. Vet. Med. </w:t>
      </w:r>
      <w:r w:rsidRPr="007E51E0">
        <w:rPr>
          <w:lang w:val="en-IE"/>
        </w:rPr>
        <w:t>[</w:t>
      </w:r>
      <w:r w:rsidRPr="007E51E0">
        <w:rPr>
          <w:i/>
          <w:lang w:val="en-IE"/>
        </w:rPr>
        <w:t>B</w:t>
      </w:r>
      <w:r w:rsidRPr="007E51E0">
        <w:rPr>
          <w:lang w:val="en-IE"/>
        </w:rPr>
        <w:t>]</w:t>
      </w:r>
      <w:r w:rsidRPr="007E51E0">
        <w:rPr>
          <w:i/>
          <w:lang w:val="en-IE"/>
        </w:rPr>
        <w:t xml:space="preserve"> Infect. Dis. Vet. Public Health</w:t>
      </w:r>
      <w:r w:rsidRPr="007E51E0">
        <w:rPr>
          <w:lang w:val="en-IE"/>
        </w:rPr>
        <w:t xml:space="preserve">., </w:t>
      </w:r>
      <w:r w:rsidRPr="007E51E0">
        <w:rPr>
          <w:b/>
          <w:lang w:val="en-IE"/>
        </w:rPr>
        <w:t>52</w:t>
      </w:r>
      <w:r w:rsidRPr="007E51E0">
        <w:rPr>
          <w:lang w:val="en-IE"/>
        </w:rPr>
        <w:t>, 201–205.</w:t>
      </w:r>
    </w:p>
    <w:p w14:paraId="1212860C" w14:textId="3E8A4A1A" w:rsidR="00E66B2B" w:rsidRPr="007E51E0" w:rsidRDefault="00E66B2B" w:rsidP="00945E84">
      <w:pPr>
        <w:pStyle w:val="Ref"/>
        <w:tabs>
          <w:tab w:val="clear" w:pos="-720"/>
          <w:tab w:val="left" w:pos="1384"/>
        </w:tabs>
        <w:rPr>
          <w:smallCaps/>
          <w:lang w:val="en-IE"/>
        </w:rPr>
      </w:pPr>
      <w:proofErr w:type="spellStart"/>
      <w:r w:rsidRPr="007E51E0">
        <w:rPr>
          <w:smallCaps/>
          <w:lang w:val="en-IE"/>
        </w:rPr>
        <w:t>Obersteller</w:t>
      </w:r>
      <w:proofErr w:type="spellEnd"/>
      <w:r w:rsidRPr="007E51E0">
        <w:rPr>
          <w:smallCaps/>
          <w:lang w:val="en-IE"/>
        </w:rPr>
        <w:t xml:space="preserve"> S., Neubauer H., Hagen R.M.</w:t>
      </w:r>
      <w:r w:rsidR="00B37D9A" w:rsidRPr="007E51E0">
        <w:rPr>
          <w:smallCaps/>
          <w:lang w:val="en-IE"/>
        </w:rPr>
        <w:t xml:space="preserve"> &amp;</w:t>
      </w:r>
      <w:r w:rsidRPr="007E51E0">
        <w:rPr>
          <w:smallCaps/>
          <w:lang w:val="en-IE"/>
        </w:rPr>
        <w:t xml:space="preserve"> Frickmann H. (2016). </w:t>
      </w:r>
      <w:r w:rsidRPr="007E51E0">
        <w:rPr>
          <w:lang w:val="en-IE"/>
        </w:rPr>
        <w:t xml:space="preserve">Comparison of </w:t>
      </w:r>
      <w:r w:rsidR="00B37D9A" w:rsidRPr="007E51E0">
        <w:rPr>
          <w:lang w:val="en-IE"/>
        </w:rPr>
        <w:t xml:space="preserve">five commercial nucleic acid extraction kits for the </w:t>
      </w:r>
      <w:r w:rsidRPr="007E51E0">
        <w:rPr>
          <w:lang w:val="en-IE"/>
        </w:rPr>
        <w:t xml:space="preserve">PCR-based </w:t>
      </w:r>
      <w:r w:rsidR="00B37D9A" w:rsidRPr="007E51E0">
        <w:rPr>
          <w:lang w:val="en-IE"/>
        </w:rPr>
        <w:t xml:space="preserve">detection </w:t>
      </w:r>
      <w:r w:rsidRPr="007E51E0">
        <w:rPr>
          <w:lang w:val="en-IE"/>
        </w:rPr>
        <w:t xml:space="preserve">of </w:t>
      </w:r>
      <w:proofErr w:type="spellStart"/>
      <w:r w:rsidRPr="007E51E0">
        <w:rPr>
          <w:i/>
          <w:lang w:val="en-IE"/>
        </w:rPr>
        <w:t>Burkholderia</w:t>
      </w:r>
      <w:proofErr w:type="spellEnd"/>
      <w:r w:rsidRPr="007E51E0">
        <w:rPr>
          <w:i/>
          <w:lang w:val="en-IE"/>
        </w:rPr>
        <w:t xml:space="preserve"> </w:t>
      </w:r>
      <w:proofErr w:type="spellStart"/>
      <w:r w:rsidR="00B37D9A" w:rsidRPr="007E51E0">
        <w:rPr>
          <w:i/>
          <w:lang w:val="en-IE"/>
        </w:rPr>
        <w:t>pseudomallei</w:t>
      </w:r>
      <w:proofErr w:type="spellEnd"/>
      <w:r w:rsidR="00B37D9A" w:rsidRPr="007E51E0">
        <w:rPr>
          <w:lang w:val="en-IE"/>
        </w:rPr>
        <w:t xml:space="preserve"> </w:t>
      </w:r>
      <w:r w:rsidRPr="007E51E0">
        <w:rPr>
          <w:lang w:val="en-IE"/>
        </w:rPr>
        <w:t xml:space="preserve">DNA in </w:t>
      </w:r>
      <w:r w:rsidR="00B37D9A" w:rsidRPr="007E51E0">
        <w:rPr>
          <w:lang w:val="en-IE"/>
        </w:rPr>
        <w:t>formalin-fixed, paraffin-embedded tissues</w:t>
      </w:r>
      <w:r w:rsidRPr="007E51E0">
        <w:rPr>
          <w:lang w:val="en-IE"/>
        </w:rPr>
        <w:t xml:space="preserve">. </w:t>
      </w:r>
      <w:r w:rsidRPr="007E51E0">
        <w:rPr>
          <w:i/>
          <w:lang w:val="en-IE"/>
        </w:rPr>
        <w:t>Eur</w:t>
      </w:r>
      <w:r w:rsidR="00B37D9A" w:rsidRPr="007E51E0">
        <w:rPr>
          <w:i/>
          <w:lang w:val="en-IE"/>
        </w:rPr>
        <w:t>.</w:t>
      </w:r>
      <w:r w:rsidRPr="007E51E0">
        <w:rPr>
          <w:i/>
          <w:lang w:val="en-IE"/>
        </w:rPr>
        <w:t xml:space="preserve"> J</w:t>
      </w:r>
      <w:r w:rsidR="00B37D9A" w:rsidRPr="007E51E0">
        <w:rPr>
          <w:i/>
          <w:lang w:val="en-IE"/>
        </w:rPr>
        <w:t>.</w:t>
      </w:r>
      <w:r w:rsidRPr="007E51E0">
        <w:rPr>
          <w:i/>
          <w:lang w:val="en-IE"/>
        </w:rPr>
        <w:t xml:space="preserve"> </w:t>
      </w:r>
      <w:proofErr w:type="spellStart"/>
      <w:r w:rsidRPr="007E51E0">
        <w:rPr>
          <w:i/>
          <w:lang w:val="en-IE"/>
        </w:rPr>
        <w:t>Microbiol</w:t>
      </w:r>
      <w:proofErr w:type="spellEnd"/>
      <w:r w:rsidR="00B37D9A" w:rsidRPr="007E51E0">
        <w:rPr>
          <w:i/>
          <w:lang w:val="en-IE"/>
        </w:rPr>
        <w:t>.</w:t>
      </w:r>
      <w:r w:rsidRPr="007E51E0">
        <w:rPr>
          <w:i/>
          <w:lang w:val="en-IE"/>
        </w:rPr>
        <w:t xml:space="preserve"> Immunol</w:t>
      </w:r>
      <w:r w:rsidR="00B37D9A" w:rsidRPr="007E51E0">
        <w:rPr>
          <w:lang w:val="en-IE"/>
        </w:rPr>
        <w:t>.</w:t>
      </w:r>
      <w:r w:rsidRPr="007E51E0">
        <w:rPr>
          <w:lang w:val="en-IE"/>
        </w:rPr>
        <w:t xml:space="preserve"> (Bp)</w:t>
      </w:r>
      <w:r w:rsidR="00B37D9A" w:rsidRPr="007E51E0">
        <w:rPr>
          <w:lang w:val="en-IE"/>
        </w:rPr>
        <w:t>,</w:t>
      </w:r>
      <w:r w:rsidRPr="007E51E0">
        <w:rPr>
          <w:lang w:val="en-IE"/>
        </w:rPr>
        <w:t xml:space="preserve"> </w:t>
      </w:r>
      <w:r w:rsidRPr="007E51E0">
        <w:rPr>
          <w:b/>
          <w:lang w:val="en-IE"/>
        </w:rPr>
        <w:t>6</w:t>
      </w:r>
      <w:r w:rsidR="00B37D9A" w:rsidRPr="007E51E0">
        <w:rPr>
          <w:lang w:val="en-IE"/>
        </w:rPr>
        <w:t xml:space="preserve">, </w:t>
      </w:r>
      <w:r w:rsidRPr="007E51E0">
        <w:rPr>
          <w:lang w:val="en-IE"/>
        </w:rPr>
        <w:t>244</w:t>
      </w:r>
      <w:r w:rsidR="009E3AC3" w:rsidRPr="007E51E0">
        <w:rPr>
          <w:lang w:val="en-IE"/>
        </w:rPr>
        <w:t>–</w:t>
      </w:r>
      <w:r w:rsidRPr="007E51E0">
        <w:rPr>
          <w:lang w:val="en-IE"/>
        </w:rPr>
        <w:t>252.</w:t>
      </w:r>
    </w:p>
    <w:p w14:paraId="3FCC37A5" w14:textId="77777777" w:rsidR="002078AA" w:rsidRPr="00295EFE" w:rsidRDefault="002078AA" w:rsidP="00945E84">
      <w:pPr>
        <w:pStyle w:val="Ref"/>
        <w:tabs>
          <w:tab w:val="clear" w:pos="-720"/>
          <w:tab w:val="left" w:pos="1384"/>
        </w:tabs>
        <w:rPr>
          <w:lang w:val="fr-FR"/>
        </w:rPr>
      </w:pPr>
      <w:r w:rsidRPr="007E51E0">
        <w:rPr>
          <w:smallCaps/>
          <w:lang w:val="en-IE"/>
        </w:rPr>
        <w:t xml:space="preserve">O’Connell H.A., Rose L.J., Shams A., Bradley M., Arduino M.J. &amp; Rice E.W. </w:t>
      </w:r>
      <w:r w:rsidRPr="007E51E0">
        <w:rPr>
          <w:lang w:val="en-IE"/>
        </w:rPr>
        <w:t xml:space="preserve">(2009). Variability of </w:t>
      </w:r>
      <w:proofErr w:type="spellStart"/>
      <w:r w:rsidRPr="007E51E0">
        <w:rPr>
          <w:i/>
          <w:lang w:val="en-IE"/>
        </w:rPr>
        <w:t>Burkholderia</w:t>
      </w:r>
      <w:proofErr w:type="spellEnd"/>
      <w:r w:rsidRPr="007E51E0">
        <w:rPr>
          <w:i/>
          <w:lang w:val="en-IE"/>
        </w:rPr>
        <w:t xml:space="preserve"> </w:t>
      </w:r>
      <w:proofErr w:type="spellStart"/>
      <w:r w:rsidRPr="007E51E0">
        <w:rPr>
          <w:i/>
          <w:lang w:val="en-IE"/>
        </w:rPr>
        <w:t>pseudomallei</w:t>
      </w:r>
      <w:proofErr w:type="spellEnd"/>
      <w:r w:rsidRPr="007E51E0">
        <w:rPr>
          <w:i/>
          <w:lang w:val="en-IE"/>
        </w:rPr>
        <w:t xml:space="preserve"> </w:t>
      </w:r>
      <w:r w:rsidRPr="007E51E0">
        <w:rPr>
          <w:lang w:val="en-IE"/>
        </w:rPr>
        <w:t xml:space="preserve">strain sensitivities to chlorine disinfection. </w:t>
      </w:r>
      <w:r w:rsidRPr="007E51E0">
        <w:rPr>
          <w:i/>
          <w:lang w:val="en-IE"/>
        </w:rPr>
        <w:t xml:space="preserve">Appl. </w:t>
      </w:r>
      <w:r w:rsidRPr="007E51E0">
        <w:rPr>
          <w:i/>
          <w:lang w:val="fr-FR"/>
        </w:rPr>
        <w:t xml:space="preserve">Environ. </w:t>
      </w:r>
      <w:proofErr w:type="spellStart"/>
      <w:r w:rsidRPr="00295EFE">
        <w:rPr>
          <w:i/>
          <w:lang w:val="fr-FR"/>
        </w:rPr>
        <w:t>Microbiol</w:t>
      </w:r>
      <w:proofErr w:type="spellEnd"/>
      <w:r w:rsidRPr="00295EFE">
        <w:rPr>
          <w:i/>
          <w:lang w:val="fr-FR"/>
        </w:rPr>
        <w:t>.,</w:t>
      </w:r>
      <w:r w:rsidRPr="00295EFE">
        <w:rPr>
          <w:lang w:val="fr-FR"/>
        </w:rPr>
        <w:t xml:space="preserve"> </w:t>
      </w:r>
      <w:r w:rsidRPr="00295EFE">
        <w:rPr>
          <w:b/>
          <w:lang w:val="fr-FR"/>
        </w:rPr>
        <w:t>75</w:t>
      </w:r>
      <w:r w:rsidRPr="00295EFE">
        <w:rPr>
          <w:lang w:val="fr-FR"/>
        </w:rPr>
        <w:t>, 5405–5409.</w:t>
      </w:r>
    </w:p>
    <w:p w14:paraId="00D6E1AD" w14:textId="79AC8A3C" w:rsidR="00CD4D43" w:rsidRPr="007E51E0" w:rsidRDefault="00CD4D43" w:rsidP="00945E84">
      <w:pPr>
        <w:pStyle w:val="Ref"/>
        <w:tabs>
          <w:tab w:val="clear" w:pos="-720"/>
          <w:tab w:val="left" w:pos="1384"/>
        </w:tabs>
        <w:rPr>
          <w:smallCaps/>
          <w:lang w:val="en-IE"/>
        </w:rPr>
      </w:pPr>
      <w:r w:rsidRPr="00295EFE">
        <w:rPr>
          <w:smallCaps/>
          <w:lang w:val="fr-FR"/>
        </w:rPr>
        <w:t>Pal V., Kumar S., Malik P.</w:t>
      </w:r>
      <w:r w:rsidR="00B37D9A" w:rsidRPr="00295EFE">
        <w:rPr>
          <w:smallCaps/>
          <w:lang w:val="fr-FR"/>
        </w:rPr>
        <w:t xml:space="preserve"> &amp;</w:t>
      </w:r>
      <w:r w:rsidRPr="00295EFE">
        <w:rPr>
          <w:smallCaps/>
          <w:lang w:val="fr-FR"/>
        </w:rPr>
        <w:t xml:space="preserve"> Rai G.P. </w:t>
      </w:r>
      <w:r w:rsidRPr="00295EFE">
        <w:rPr>
          <w:lang w:val="fr-FR"/>
        </w:rPr>
        <w:t xml:space="preserve">(2012). </w:t>
      </w:r>
      <w:r w:rsidRPr="007E51E0">
        <w:rPr>
          <w:lang w:val="en-IE"/>
        </w:rPr>
        <w:t xml:space="preserve">Evaluation of recombinant proteins of </w:t>
      </w:r>
      <w:proofErr w:type="spellStart"/>
      <w:r w:rsidRPr="007E51E0">
        <w:rPr>
          <w:i/>
          <w:lang w:val="en-IE"/>
        </w:rPr>
        <w:t>Burkholderia</w:t>
      </w:r>
      <w:proofErr w:type="spellEnd"/>
      <w:r w:rsidRPr="007E51E0">
        <w:rPr>
          <w:i/>
          <w:lang w:val="en-IE"/>
        </w:rPr>
        <w:t xml:space="preserve"> mallei</w:t>
      </w:r>
      <w:r w:rsidRPr="007E51E0">
        <w:rPr>
          <w:lang w:val="en-IE"/>
        </w:rPr>
        <w:t xml:space="preserve"> for serodiagnosis of glanders. </w:t>
      </w:r>
      <w:r w:rsidRPr="007E51E0">
        <w:rPr>
          <w:i/>
          <w:lang w:val="en-IE"/>
        </w:rPr>
        <w:t>Clin</w:t>
      </w:r>
      <w:r w:rsidR="00B37D9A" w:rsidRPr="007E51E0">
        <w:rPr>
          <w:i/>
          <w:lang w:val="en-IE"/>
        </w:rPr>
        <w:t>.</w:t>
      </w:r>
      <w:r w:rsidRPr="007E51E0">
        <w:rPr>
          <w:i/>
          <w:lang w:val="en-IE"/>
        </w:rPr>
        <w:t xml:space="preserve"> Vaccine Immunol</w:t>
      </w:r>
      <w:r w:rsidR="00B37D9A" w:rsidRPr="007E51E0">
        <w:rPr>
          <w:lang w:val="en-IE"/>
        </w:rPr>
        <w:t xml:space="preserve">., </w:t>
      </w:r>
      <w:r w:rsidRPr="007E51E0">
        <w:rPr>
          <w:b/>
          <w:lang w:val="en-IE"/>
        </w:rPr>
        <w:t>19</w:t>
      </w:r>
      <w:r w:rsidR="00B37D9A" w:rsidRPr="007E51E0">
        <w:rPr>
          <w:lang w:val="en-IE"/>
        </w:rPr>
        <w:t>, 1193–119</w:t>
      </w:r>
      <w:r w:rsidRPr="007E51E0">
        <w:rPr>
          <w:lang w:val="en-IE"/>
        </w:rPr>
        <w:t>8.</w:t>
      </w:r>
    </w:p>
    <w:p w14:paraId="201191CA" w14:textId="77777777" w:rsidR="002078AA" w:rsidRPr="007E51E0" w:rsidRDefault="002078AA" w:rsidP="00945E84">
      <w:pPr>
        <w:pStyle w:val="Ref"/>
        <w:tabs>
          <w:tab w:val="clear" w:pos="-720"/>
          <w:tab w:val="left" w:pos="1384"/>
        </w:tabs>
        <w:rPr>
          <w:lang w:val="en-IE"/>
        </w:rPr>
      </w:pPr>
      <w:r w:rsidRPr="007E51E0">
        <w:rPr>
          <w:smallCaps/>
          <w:lang w:val="en-IE"/>
        </w:rPr>
        <w:t xml:space="preserve">Peacock S.J., Chieng G., Cheng A.C., Dance D.A., Amornchai P., </w:t>
      </w:r>
      <w:proofErr w:type="spellStart"/>
      <w:r w:rsidRPr="007E51E0">
        <w:rPr>
          <w:smallCaps/>
          <w:lang w:val="en-IE"/>
        </w:rPr>
        <w:t>Wongsuvan</w:t>
      </w:r>
      <w:proofErr w:type="spellEnd"/>
      <w:r w:rsidRPr="007E51E0">
        <w:rPr>
          <w:smallCaps/>
          <w:lang w:val="en-IE"/>
        </w:rPr>
        <w:t xml:space="preserve"> G., </w:t>
      </w:r>
      <w:proofErr w:type="spellStart"/>
      <w:r w:rsidRPr="007E51E0">
        <w:rPr>
          <w:smallCaps/>
          <w:lang w:val="en-IE"/>
        </w:rPr>
        <w:t>Teerawattanasook</w:t>
      </w:r>
      <w:proofErr w:type="spellEnd"/>
      <w:r w:rsidRPr="007E51E0">
        <w:rPr>
          <w:smallCaps/>
          <w:lang w:val="en-IE"/>
        </w:rPr>
        <w:t xml:space="preserve"> N., </w:t>
      </w:r>
      <w:proofErr w:type="spellStart"/>
      <w:r w:rsidRPr="007E51E0">
        <w:rPr>
          <w:smallCaps/>
          <w:lang w:val="en-IE"/>
        </w:rPr>
        <w:t>Chierakul</w:t>
      </w:r>
      <w:proofErr w:type="spellEnd"/>
      <w:r w:rsidRPr="007E51E0">
        <w:rPr>
          <w:smallCaps/>
          <w:lang w:val="en-IE"/>
        </w:rPr>
        <w:t xml:space="preserve"> W., Day N.P. &amp; </w:t>
      </w:r>
      <w:proofErr w:type="spellStart"/>
      <w:r w:rsidRPr="007E51E0">
        <w:rPr>
          <w:smallCaps/>
          <w:lang w:val="en-IE"/>
        </w:rPr>
        <w:t>Wuthiekanun</w:t>
      </w:r>
      <w:proofErr w:type="spellEnd"/>
      <w:r w:rsidRPr="007E51E0">
        <w:rPr>
          <w:smallCaps/>
          <w:lang w:val="en-IE"/>
        </w:rPr>
        <w:t xml:space="preserve"> V</w:t>
      </w:r>
      <w:r w:rsidRPr="007E51E0">
        <w:rPr>
          <w:lang w:val="en-IE"/>
        </w:rPr>
        <w:t xml:space="preserve">. (2005). Comparison of Ashdown’s medium, </w:t>
      </w:r>
      <w:proofErr w:type="spellStart"/>
      <w:r w:rsidRPr="007E51E0">
        <w:rPr>
          <w:i/>
          <w:lang w:val="en-IE"/>
        </w:rPr>
        <w:t>Burkholderia</w:t>
      </w:r>
      <w:proofErr w:type="spellEnd"/>
      <w:r w:rsidRPr="007E51E0">
        <w:rPr>
          <w:i/>
          <w:lang w:val="en-IE"/>
        </w:rPr>
        <w:t xml:space="preserve"> </w:t>
      </w:r>
      <w:proofErr w:type="spellStart"/>
      <w:r w:rsidRPr="007E51E0">
        <w:rPr>
          <w:i/>
          <w:lang w:val="en-IE"/>
        </w:rPr>
        <w:t>cepacia</w:t>
      </w:r>
      <w:proofErr w:type="spellEnd"/>
      <w:r w:rsidRPr="007E51E0">
        <w:rPr>
          <w:lang w:val="en-IE"/>
        </w:rPr>
        <w:t xml:space="preserve"> medium, and </w:t>
      </w:r>
      <w:proofErr w:type="spellStart"/>
      <w:r w:rsidRPr="007E51E0">
        <w:rPr>
          <w:i/>
          <w:lang w:val="en-IE"/>
        </w:rPr>
        <w:t>Burkholderia</w:t>
      </w:r>
      <w:proofErr w:type="spellEnd"/>
      <w:r w:rsidRPr="007E51E0">
        <w:rPr>
          <w:i/>
          <w:lang w:val="en-IE"/>
        </w:rPr>
        <w:t xml:space="preserve"> </w:t>
      </w:r>
      <w:proofErr w:type="spellStart"/>
      <w:r w:rsidRPr="007E51E0">
        <w:rPr>
          <w:i/>
          <w:lang w:val="en-IE"/>
        </w:rPr>
        <w:t>pseudomallei</w:t>
      </w:r>
      <w:proofErr w:type="spellEnd"/>
      <w:r w:rsidRPr="007E51E0">
        <w:rPr>
          <w:lang w:val="en-IE"/>
        </w:rPr>
        <w:t xml:space="preserve"> selective agar for clinical isolation of </w:t>
      </w:r>
      <w:proofErr w:type="spellStart"/>
      <w:r w:rsidRPr="007E51E0">
        <w:rPr>
          <w:i/>
          <w:lang w:val="en-IE"/>
        </w:rPr>
        <w:t>Burkholderia</w:t>
      </w:r>
      <w:proofErr w:type="spellEnd"/>
      <w:r w:rsidRPr="007E51E0">
        <w:rPr>
          <w:i/>
          <w:lang w:val="en-IE"/>
        </w:rPr>
        <w:t xml:space="preserve"> </w:t>
      </w:r>
      <w:proofErr w:type="spellStart"/>
      <w:r w:rsidRPr="007E51E0">
        <w:rPr>
          <w:i/>
          <w:lang w:val="en-IE"/>
        </w:rPr>
        <w:t>pseudomallei</w:t>
      </w:r>
      <w:proofErr w:type="spellEnd"/>
      <w:r w:rsidRPr="007E51E0">
        <w:rPr>
          <w:lang w:val="en-IE"/>
        </w:rPr>
        <w:t xml:space="preserve">. </w:t>
      </w:r>
      <w:r w:rsidRPr="007E51E0">
        <w:rPr>
          <w:i/>
          <w:lang w:val="en-IE"/>
        </w:rPr>
        <w:t xml:space="preserve">J. Clin. </w:t>
      </w:r>
      <w:proofErr w:type="spellStart"/>
      <w:r w:rsidRPr="007E51E0">
        <w:rPr>
          <w:i/>
          <w:lang w:val="en-IE"/>
        </w:rPr>
        <w:t>Microbiol</w:t>
      </w:r>
      <w:proofErr w:type="spellEnd"/>
      <w:r w:rsidRPr="007E51E0">
        <w:rPr>
          <w:i/>
          <w:lang w:val="en-IE"/>
        </w:rPr>
        <w:t>.</w:t>
      </w:r>
      <w:r w:rsidRPr="007E51E0">
        <w:rPr>
          <w:lang w:val="en-IE"/>
        </w:rPr>
        <w:t xml:space="preserve">, </w:t>
      </w:r>
      <w:r w:rsidRPr="007E51E0">
        <w:rPr>
          <w:b/>
          <w:lang w:val="en-IE"/>
        </w:rPr>
        <w:t>43</w:t>
      </w:r>
      <w:r w:rsidRPr="007E51E0">
        <w:rPr>
          <w:lang w:val="en-IE"/>
        </w:rPr>
        <w:t>, 5359–5361.</w:t>
      </w:r>
    </w:p>
    <w:p w14:paraId="3EAED80A" w14:textId="66F96BED" w:rsidR="00FE3A87" w:rsidRPr="007E51E0" w:rsidRDefault="00FE3A87" w:rsidP="00945E84">
      <w:pPr>
        <w:pStyle w:val="Ref"/>
        <w:tabs>
          <w:tab w:val="clear" w:pos="-720"/>
          <w:tab w:val="left" w:pos="1384"/>
        </w:tabs>
        <w:rPr>
          <w:lang w:val="en-IE"/>
        </w:rPr>
      </w:pPr>
      <w:r w:rsidRPr="007E51E0">
        <w:rPr>
          <w:smallCaps/>
          <w:lang w:val="en-IE"/>
        </w:rPr>
        <w:t xml:space="preserve">Prakash A., </w:t>
      </w:r>
      <w:proofErr w:type="spellStart"/>
      <w:r w:rsidRPr="007E51E0">
        <w:rPr>
          <w:smallCaps/>
          <w:lang w:val="en-IE"/>
        </w:rPr>
        <w:t>Thavaselvam</w:t>
      </w:r>
      <w:proofErr w:type="spellEnd"/>
      <w:r w:rsidRPr="007E51E0">
        <w:rPr>
          <w:smallCaps/>
          <w:lang w:val="en-IE"/>
        </w:rPr>
        <w:t xml:space="preserve"> D., Kumar A., Kumar A., Arora S., Tiwari S., Barua A.</w:t>
      </w:r>
      <w:r w:rsidR="00B37D9A" w:rsidRPr="007E51E0">
        <w:rPr>
          <w:smallCaps/>
          <w:lang w:val="en-IE"/>
        </w:rPr>
        <w:t xml:space="preserve"> &amp;</w:t>
      </w:r>
      <w:r w:rsidRPr="007E51E0">
        <w:rPr>
          <w:smallCaps/>
          <w:lang w:val="en-IE"/>
        </w:rPr>
        <w:t xml:space="preserve"> Sathyaseelan K. (2014). </w:t>
      </w:r>
      <w:r w:rsidRPr="007E51E0">
        <w:rPr>
          <w:lang w:val="en-IE"/>
        </w:rPr>
        <w:t xml:space="preserve">Isolation, identification and characterization of </w:t>
      </w:r>
      <w:proofErr w:type="spellStart"/>
      <w:r w:rsidRPr="007E51E0">
        <w:rPr>
          <w:i/>
          <w:lang w:val="en-IE"/>
        </w:rPr>
        <w:t>Burkholderia</w:t>
      </w:r>
      <w:proofErr w:type="spellEnd"/>
      <w:r w:rsidRPr="007E51E0">
        <w:rPr>
          <w:i/>
          <w:lang w:val="en-IE"/>
        </w:rPr>
        <w:t xml:space="preserve"> </w:t>
      </w:r>
      <w:proofErr w:type="spellStart"/>
      <w:r w:rsidRPr="007E51E0">
        <w:rPr>
          <w:i/>
          <w:lang w:val="en-IE"/>
        </w:rPr>
        <w:t>pseudomallei</w:t>
      </w:r>
      <w:proofErr w:type="spellEnd"/>
      <w:r w:rsidRPr="007E51E0">
        <w:rPr>
          <w:lang w:val="en-IE"/>
        </w:rPr>
        <w:t xml:space="preserve"> from soil of coastal region of India. </w:t>
      </w:r>
      <w:proofErr w:type="spellStart"/>
      <w:r w:rsidRPr="007E51E0">
        <w:rPr>
          <w:i/>
          <w:lang w:val="en-IE"/>
        </w:rPr>
        <w:t>Springerplus</w:t>
      </w:r>
      <w:proofErr w:type="spellEnd"/>
      <w:r w:rsidRPr="007E51E0">
        <w:rPr>
          <w:lang w:val="en-IE"/>
        </w:rPr>
        <w:t xml:space="preserve">, </w:t>
      </w:r>
      <w:r w:rsidRPr="007E51E0">
        <w:rPr>
          <w:b/>
          <w:lang w:val="en-IE"/>
        </w:rPr>
        <w:t>3</w:t>
      </w:r>
      <w:r w:rsidR="009E3AC3" w:rsidRPr="007E51E0">
        <w:rPr>
          <w:lang w:val="en-IE"/>
        </w:rPr>
        <w:t>,</w:t>
      </w:r>
      <w:r w:rsidR="00B37D9A" w:rsidRPr="007E51E0">
        <w:rPr>
          <w:lang w:val="en-IE"/>
        </w:rPr>
        <w:t xml:space="preserve"> </w:t>
      </w:r>
      <w:r w:rsidRPr="007E51E0">
        <w:rPr>
          <w:lang w:val="en-IE"/>
        </w:rPr>
        <w:t xml:space="preserve">438. </w:t>
      </w:r>
    </w:p>
    <w:p w14:paraId="29ED57B3" w14:textId="5413C2C4" w:rsidR="00FE3A87" w:rsidRPr="007E51E0" w:rsidRDefault="00FE3A87" w:rsidP="00945E84">
      <w:pPr>
        <w:pStyle w:val="Ref"/>
        <w:tabs>
          <w:tab w:val="clear" w:pos="-720"/>
          <w:tab w:val="left" w:pos="1384"/>
        </w:tabs>
        <w:rPr>
          <w:smallCaps/>
          <w:lang w:val="en-IE"/>
        </w:rPr>
      </w:pPr>
      <w:r w:rsidRPr="007E51E0">
        <w:rPr>
          <w:smallCaps/>
          <w:lang w:val="en-IE"/>
        </w:rPr>
        <w:lastRenderedPageBreak/>
        <w:t xml:space="preserve">Price E.P., </w:t>
      </w:r>
      <w:proofErr w:type="spellStart"/>
      <w:r w:rsidRPr="007E51E0">
        <w:rPr>
          <w:smallCaps/>
          <w:lang w:val="en-IE"/>
        </w:rPr>
        <w:t>Sarovich</w:t>
      </w:r>
      <w:proofErr w:type="spellEnd"/>
      <w:r w:rsidRPr="007E51E0">
        <w:rPr>
          <w:smallCaps/>
          <w:lang w:val="en-IE"/>
        </w:rPr>
        <w:t xml:space="preserve"> D.S., Viberg L., Mayo M., </w:t>
      </w:r>
      <w:proofErr w:type="spellStart"/>
      <w:r w:rsidRPr="007E51E0">
        <w:rPr>
          <w:smallCaps/>
          <w:lang w:val="en-IE"/>
        </w:rPr>
        <w:t>Kaestli</w:t>
      </w:r>
      <w:proofErr w:type="spellEnd"/>
      <w:r w:rsidRPr="007E51E0">
        <w:rPr>
          <w:smallCaps/>
          <w:lang w:val="en-IE"/>
        </w:rPr>
        <w:t xml:space="preserve"> M., </w:t>
      </w:r>
      <w:proofErr w:type="spellStart"/>
      <w:r w:rsidRPr="007E51E0">
        <w:rPr>
          <w:smallCaps/>
          <w:lang w:val="en-IE"/>
        </w:rPr>
        <w:t>Tuanyok</w:t>
      </w:r>
      <w:proofErr w:type="spellEnd"/>
      <w:r w:rsidRPr="007E51E0">
        <w:rPr>
          <w:smallCaps/>
          <w:lang w:val="en-IE"/>
        </w:rPr>
        <w:t xml:space="preserve"> A., Foster </w:t>
      </w:r>
      <w:proofErr w:type="spellStart"/>
      <w:r w:rsidRPr="007E51E0">
        <w:rPr>
          <w:smallCaps/>
          <w:lang w:val="en-IE"/>
        </w:rPr>
        <w:t>J.T.,Keim</w:t>
      </w:r>
      <w:proofErr w:type="spellEnd"/>
      <w:r w:rsidRPr="007E51E0">
        <w:rPr>
          <w:smallCaps/>
          <w:lang w:val="en-IE"/>
        </w:rPr>
        <w:t xml:space="preserve"> P., Pearson T.</w:t>
      </w:r>
      <w:r w:rsidR="00B37D9A" w:rsidRPr="007E51E0">
        <w:rPr>
          <w:smallCaps/>
          <w:lang w:val="en-IE"/>
        </w:rPr>
        <w:t xml:space="preserve"> &amp;</w:t>
      </w:r>
      <w:r w:rsidRPr="007E51E0">
        <w:rPr>
          <w:smallCaps/>
          <w:lang w:val="en-IE"/>
        </w:rPr>
        <w:t xml:space="preserve"> Currie B.J. </w:t>
      </w:r>
      <w:r w:rsidRPr="007E51E0">
        <w:rPr>
          <w:lang w:val="en-IE"/>
        </w:rPr>
        <w:t xml:space="preserve">(2015). Whole-genome sequencing of </w:t>
      </w:r>
      <w:proofErr w:type="spellStart"/>
      <w:r w:rsidRPr="008F64D8">
        <w:rPr>
          <w:i/>
          <w:lang w:val="en-IE"/>
        </w:rPr>
        <w:t>Burkholderia</w:t>
      </w:r>
      <w:proofErr w:type="spellEnd"/>
      <w:r w:rsidRPr="008F64D8">
        <w:rPr>
          <w:i/>
          <w:lang w:val="en-IE"/>
        </w:rPr>
        <w:t xml:space="preserve"> </w:t>
      </w:r>
      <w:proofErr w:type="spellStart"/>
      <w:r w:rsidRPr="008F64D8">
        <w:rPr>
          <w:i/>
          <w:lang w:val="en-IE"/>
        </w:rPr>
        <w:t>pseudomallei</w:t>
      </w:r>
      <w:proofErr w:type="spellEnd"/>
      <w:r w:rsidRPr="007E51E0">
        <w:rPr>
          <w:lang w:val="en-IE"/>
        </w:rPr>
        <w:t xml:space="preserve"> isolates from an unusual melioidosis case identifies a polyclonal infection with the same </w:t>
      </w:r>
      <w:proofErr w:type="spellStart"/>
      <w:r w:rsidRPr="007E51E0">
        <w:rPr>
          <w:lang w:val="en-IE"/>
        </w:rPr>
        <w:t>multilocus</w:t>
      </w:r>
      <w:proofErr w:type="spellEnd"/>
      <w:r w:rsidRPr="007E51E0">
        <w:rPr>
          <w:lang w:val="en-IE"/>
        </w:rPr>
        <w:t xml:space="preserve"> sequence type. </w:t>
      </w:r>
      <w:r w:rsidRPr="007E51E0">
        <w:rPr>
          <w:i/>
          <w:lang w:val="en-IE"/>
        </w:rPr>
        <w:t>J</w:t>
      </w:r>
      <w:r w:rsidR="00B37D9A" w:rsidRPr="007E51E0">
        <w:rPr>
          <w:i/>
          <w:lang w:val="en-IE"/>
        </w:rPr>
        <w:t>.</w:t>
      </w:r>
      <w:r w:rsidRPr="007E51E0">
        <w:rPr>
          <w:i/>
          <w:lang w:val="en-IE"/>
        </w:rPr>
        <w:t xml:space="preserve"> Clin</w:t>
      </w:r>
      <w:r w:rsidR="00B37D9A" w:rsidRPr="007E51E0">
        <w:rPr>
          <w:i/>
          <w:lang w:val="en-IE"/>
        </w:rPr>
        <w:t>.</w:t>
      </w:r>
      <w:r w:rsidRPr="007E51E0">
        <w:rPr>
          <w:i/>
          <w:lang w:val="en-IE"/>
        </w:rPr>
        <w:t xml:space="preserve"> </w:t>
      </w:r>
      <w:proofErr w:type="spellStart"/>
      <w:r w:rsidRPr="007E51E0">
        <w:rPr>
          <w:i/>
          <w:lang w:val="en-IE"/>
        </w:rPr>
        <w:t>Microbiol</w:t>
      </w:r>
      <w:proofErr w:type="spellEnd"/>
      <w:r w:rsidRPr="007E51E0">
        <w:rPr>
          <w:lang w:val="en-IE"/>
        </w:rPr>
        <w:t>.</w:t>
      </w:r>
      <w:r w:rsidR="00B37D9A" w:rsidRPr="007E51E0">
        <w:rPr>
          <w:lang w:val="en-IE"/>
        </w:rPr>
        <w:t>,</w:t>
      </w:r>
      <w:r w:rsidRPr="007E51E0">
        <w:rPr>
          <w:lang w:val="en-IE"/>
        </w:rPr>
        <w:t xml:space="preserve"> </w:t>
      </w:r>
      <w:r w:rsidRPr="007E51E0">
        <w:rPr>
          <w:b/>
          <w:lang w:val="en-IE"/>
        </w:rPr>
        <w:t>53</w:t>
      </w:r>
      <w:r w:rsidR="00B37D9A" w:rsidRPr="007E51E0">
        <w:rPr>
          <w:lang w:val="en-IE"/>
        </w:rPr>
        <w:t xml:space="preserve">, </w:t>
      </w:r>
      <w:r w:rsidRPr="007E51E0">
        <w:rPr>
          <w:lang w:val="en-IE"/>
        </w:rPr>
        <w:t>282</w:t>
      </w:r>
      <w:r w:rsidR="00B37D9A" w:rsidRPr="007E51E0">
        <w:rPr>
          <w:lang w:val="en-IE"/>
        </w:rPr>
        <w:t>–28</w:t>
      </w:r>
      <w:r w:rsidRPr="007E51E0">
        <w:rPr>
          <w:lang w:val="en-IE"/>
        </w:rPr>
        <w:t xml:space="preserve">6. </w:t>
      </w:r>
    </w:p>
    <w:p w14:paraId="5E67BCA2" w14:textId="04F1AF55" w:rsidR="000B0EC9" w:rsidRPr="007E51E0" w:rsidRDefault="000B0EC9" w:rsidP="00945E84">
      <w:pPr>
        <w:pStyle w:val="Ref"/>
        <w:tabs>
          <w:tab w:val="clear" w:pos="-720"/>
          <w:tab w:val="left" w:pos="1384"/>
        </w:tabs>
        <w:rPr>
          <w:lang w:val="en-IE"/>
        </w:rPr>
      </w:pPr>
      <w:r w:rsidRPr="007E51E0">
        <w:rPr>
          <w:smallCaps/>
          <w:lang w:val="en-IE"/>
        </w:rPr>
        <w:t xml:space="preserve">Pumpuang A., </w:t>
      </w:r>
      <w:proofErr w:type="spellStart"/>
      <w:r w:rsidRPr="007E51E0">
        <w:rPr>
          <w:smallCaps/>
          <w:lang w:val="en-IE"/>
        </w:rPr>
        <w:t>Chantratita</w:t>
      </w:r>
      <w:proofErr w:type="spellEnd"/>
      <w:r w:rsidRPr="007E51E0">
        <w:rPr>
          <w:smallCaps/>
          <w:lang w:val="en-IE"/>
        </w:rPr>
        <w:t xml:space="preserve"> N., </w:t>
      </w:r>
      <w:proofErr w:type="spellStart"/>
      <w:r w:rsidRPr="007E51E0">
        <w:rPr>
          <w:smallCaps/>
          <w:lang w:val="en-IE"/>
        </w:rPr>
        <w:t>Wikraiphat</w:t>
      </w:r>
      <w:proofErr w:type="spellEnd"/>
      <w:r w:rsidRPr="007E51E0">
        <w:rPr>
          <w:smallCaps/>
          <w:lang w:val="en-IE"/>
        </w:rPr>
        <w:t xml:space="preserve"> C., </w:t>
      </w:r>
      <w:proofErr w:type="spellStart"/>
      <w:r w:rsidRPr="007E51E0">
        <w:rPr>
          <w:smallCaps/>
          <w:lang w:val="en-IE"/>
        </w:rPr>
        <w:t>Saiprom</w:t>
      </w:r>
      <w:proofErr w:type="spellEnd"/>
      <w:r w:rsidRPr="007E51E0">
        <w:rPr>
          <w:smallCaps/>
          <w:lang w:val="en-IE"/>
        </w:rPr>
        <w:t xml:space="preserve"> N., Day N.P., Peacock S.J.</w:t>
      </w:r>
      <w:r w:rsidR="00B9010E" w:rsidRPr="007E51E0">
        <w:rPr>
          <w:smallCaps/>
          <w:lang w:val="en-IE"/>
        </w:rPr>
        <w:t xml:space="preserve"> &amp;</w:t>
      </w:r>
      <w:r w:rsidRPr="007E51E0">
        <w:rPr>
          <w:smallCaps/>
          <w:lang w:val="en-IE"/>
        </w:rPr>
        <w:t xml:space="preserve"> </w:t>
      </w:r>
      <w:proofErr w:type="spellStart"/>
      <w:r w:rsidRPr="007E51E0">
        <w:rPr>
          <w:smallCaps/>
          <w:lang w:val="en-IE"/>
        </w:rPr>
        <w:t>Wuthiekanun</w:t>
      </w:r>
      <w:proofErr w:type="spellEnd"/>
      <w:r w:rsidRPr="007E51E0">
        <w:rPr>
          <w:smallCaps/>
          <w:lang w:val="en-IE"/>
        </w:rPr>
        <w:t xml:space="preserve"> V. (2011). </w:t>
      </w:r>
      <w:r w:rsidRPr="007E51E0">
        <w:rPr>
          <w:lang w:val="en-IE"/>
        </w:rPr>
        <w:t xml:space="preserve">Survival of </w:t>
      </w:r>
      <w:proofErr w:type="spellStart"/>
      <w:r w:rsidRPr="007E51E0">
        <w:rPr>
          <w:i/>
          <w:lang w:val="en-IE"/>
        </w:rPr>
        <w:t>Burkholderia</w:t>
      </w:r>
      <w:proofErr w:type="spellEnd"/>
      <w:r w:rsidRPr="007E51E0">
        <w:rPr>
          <w:i/>
          <w:lang w:val="en-IE"/>
        </w:rPr>
        <w:t xml:space="preserve"> </w:t>
      </w:r>
      <w:proofErr w:type="spellStart"/>
      <w:r w:rsidRPr="007E51E0">
        <w:rPr>
          <w:i/>
          <w:lang w:val="en-IE"/>
        </w:rPr>
        <w:t>pseudomallei</w:t>
      </w:r>
      <w:proofErr w:type="spellEnd"/>
      <w:r w:rsidRPr="007E51E0">
        <w:rPr>
          <w:lang w:val="en-IE"/>
        </w:rPr>
        <w:t xml:space="preserve"> in distilled water for 16 years. </w:t>
      </w:r>
      <w:r w:rsidRPr="007E51E0">
        <w:rPr>
          <w:i/>
          <w:lang w:val="en-IE"/>
        </w:rPr>
        <w:t>Trans</w:t>
      </w:r>
      <w:r w:rsidR="00B9010E" w:rsidRPr="007E51E0">
        <w:rPr>
          <w:i/>
          <w:lang w:val="en-IE"/>
        </w:rPr>
        <w:t>.</w:t>
      </w:r>
      <w:r w:rsidRPr="007E51E0">
        <w:rPr>
          <w:i/>
          <w:lang w:val="en-IE"/>
        </w:rPr>
        <w:t xml:space="preserve"> R</w:t>
      </w:r>
      <w:r w:rsidR="00B9010E" w:rsidRPr="007E51E0">
        <w:rPr>
          <w:i/>
          <w:lang w:val="en-IE"/>
        </w:rPr>
        <w:t>.</w:t>
      </w:r>
      <w:r w:rsidRPr="007E51E0">
        <w:rPr>
          <w:i/>
          <w:lang w:val="en-IE"/>
        </w:rPr>
        <w:t xml:space="preserve"> Soc</w:t>
      </w:r>
      <w:r w:rsidR="00B9010E" w:rsidRPr="007E51E0">
        <w:rPr>
          <w:i/>
          <w:lang w:val="en-IE"/>
        </w:rPr>
        <w:t>.</w:t>
      </w:r>
      <w:r w:rsidRPr="007E51E0">
        <w:rPr>
          <w:i/>
          <w:lang w:val="en-IE"/>
        </w:rPr>
        <w:t xml:space="preserve"> Trop</w:t>
      </w:r>
      <w:r w:rsidR="00B9010E" w:rsidRPr="007E51E0">
        <w:rPr>
          <w:i/>
          <w:lang w:val="en-IE"/>
        </w:rPr>
        <w:t>.</w:t>
      </w:r>
      <w:r w:rsidRPr="007E51E0">
        <w:rPr>
          <w:i/>
          <w:lang w:val="en-IE"/>
        </w:rPr>
        <w:t xml:space="preserve"> Med</w:t>
      </w:r>
      <w:r w:rsidR="00B9010E" w:rsidRPr="007E51E0">
        <w:rPr>
          <w:i/>
          <w:lang w:val="en-IE"/>
        </w:rPr>
        <w:t>.</w:t>
      </w:r>
      <w:r w:rsidRPr="007E51E0">
        <w:rPr>
          <w:i/>
          <w:lang w:val="en-IE"/>
        </w:rPr>
        <w:t xml:space="preserve"> </w:t>
      </w:r>
      <w:proofErr w:type="spellStart"/>
      <w:r w:rsidRPr="007E51E0">
        <w:rPr>
          <w:i/>
          <w:lang w:val="en-IE"/>
        </w:rPr>
        <w:t>Hyg</w:t>
      </w:r>
      <w:proofErr w:type="spellEnd"/>
      <w:r w:rsidRPr="007E51E0">
        <w:rPr>
          <w:i/>
          <w:lang w:val="en-IE"/>
        </w:rPr>
        <w:t>.</w:t>
      </w:r>
      <w:r w:rsidR="00B9010E" w:rsidRPr="007E51E0">
        <w:rPr>
          <w:i/>
          <w:lang w:val="en-IE"/>
        </w:rPr>
        <w:t>,</w:t>
      </w:r>
      <w:r w:rsidRPr="007E51E0">
        <w:rPr>
          <w:i/>
          <w:lang w:val="en-IE"/>
        </w:rPr>
        <w:t xml:space="preserve"> </w:t>
      </w:r>
      <w:r w:rsidRPr="007E51E0">
        <w:rPr>
          <w:b/>
          <w:lang w:val="en-IE"/>
        </w:rPr>
        <w:t>105</w:t>
      </w:r>
      <w:r w:rsidR="00B9010E" w:rsidRPr="007E51E0">
        <w:rPr>
          <w:lang w:val="en-IE"/>
        </w:rPr>
        <w:t xml:space="preserve">, </w:t>
      </w:r>
      <w:r w:rsidRPr="007E51E0">
        <w:rPr>
          <w:lang w:val="en-IE"/>
        </w:rPr>
        <w:t>598</w:t>
      </w:r>
      <w:r w:rsidR="00B9010E" w:rsidRPr="007E51E0">
        <w:rPr>
          <w:lang w:val="en-IE"/>
        </w:rPr>
        <w:t>–</w:t>
      </w:r>
      <w:r w:rsidRPr="007E51E0">
        <w:rPr>
          <w:lang w:val="en-IE"/>
        </w:rPr>
        <w:t>600.</w:t>
      </w:r>
    </w:p>
    <w:p w14:paraId="155FC318" w14:textId="0807C32F" w:rsidR="000B0EC9" w:rsidRPr="007E51E0" w:rsidRDefault="000B0EC9" w:rsidP="00945E84">
      <w:pPr>
        <w:pStyle w:val="Ref"/>
        <w:tabs>
          <w:tab w:val="clear" w:pos="-720"/>
          <w:tab w:val="left" w:pos="1384"/>
        </w:tabs>
        <w:rPr>
          <w:smallCaps/>
          <w:lang w:val="en-IE"/>
        </w:rPr>
      </w:pPr>
      <w:proofErr w:type="spellStart"/>
      <w:r w:rsidRPr="007E51E0">
        <w:rPr>
          <w:smallCaps/>
          <w:lang w:val="en-IE"/>
        </w:rPr>
        <w:t>Roesnita</w:t>
      </w:r>
      <w:proofErr w:type="spellEnd"/>
      <w:r w:rsidRPr="007E51E0">
        <w:rPr>
          <w:smallCaps/>
          <w:lang w:val="en-IE"/>
        </w:rPr>
        <w:t xml:space="preserve"> B., Tay S.T., </w:t>
      </w:r>
      <w:proofErr w:type="spellStart"/>
      <w:r w:rsidRPr="007E51E0">
        <w:rPr>
          <w:smallCaps/>
          <w:lang w:val="en-IE"/>
        </w:rPr>
        <w:t>Puthucheary</w:t>
      </w:r>
      <w:proofErr w:type="spellEnd"/>
      <w:r w:rsidRPr="007E51E0">
        <w:rPr>
          <w:smallCaps/>
          <w:lang w:val="en-IE"/>
        </w:rPr>
        <w:t xml:space="preserve"> S.D.</w:t>
      </w:r>
      <w:r w:rsidR="00B9010E" w:rsidRPr="007E51E0">
        <w:rPr>
          <w:smallCaps/>
          <w:lang w:val="en-IE"/>
        </w:rPr>
        <w:t xml:space="preserve"> &amp;</w:t>
      </w:r>
      <w:r w:rsidRPr="007E51E0">
        <w:rPr>
          <w:smallCaps/>
          <w:lang w:val="en-IE"/>
        </w:rPr>
        <w:t xml:space="preserve"> Sam I.C. (</w:t>
      </w:r>
      <w:r w:rsidRPr="007E51E0">
        <w:rPr>
          <w:lang w:val="en-IE"/>
        </w:rPr>
        <w:t xml:space="preserve">2012). Diagnostic use of </w:t>
      </w:r>
      <w:proofErr w:type="spellStart"/>
      <w:r w:rsidRPr="007E51E0">
        <w:rPr>
          <w:i/>
          <w:lang w:val="en-IE"/>
        </w:rPr>
        <w:t>Burkholderia</w:t>
      </w:r>
      <w:proofErr w:type="spellEnd"/>
      <w:r w:rsidRPr="007E51E0">
        <w:rPr>
          <w:i/>
          <w:lang w:val="en-IE"/>
        </w:rPr>
        <w:t xml:space="preserve"> </w:t>
      </w:r>
      <w:proofErr w:type="spellStart"/>
      <w:r w:rsidRPr="007E51E0">
        <w:rPr>
          <w:i/>
          <w:lang w:val="en-IE"/>
        </w:rPr>
        <w:t>pseudomallei</w:t>
      </w:r>
      <w:proofErr w:type="spellEnd"/>
      <w:r w:rsidRPr="007E51E0">
        <w:rPr>
          <w:lang w:val="en-IE"/>
        </w:rPr>
        <w:t xml:space="preserve"> selective media in a low prevalence setting. </w:t>
      </w:r>
      <w:r w:rsidR="00B9010E" w:rsidRPr="007E51E0">
        <w:rPr>
          <w:i/>
          <w:lang w:val="en-IE"/>
        </w:rPr>
        <w:t xml:space="preserve">Trans. R. Soc. Trop. Med. </w:t>
      </w:r>
      <w:proofErr w:type="spellStart"/>
      <w:r w:rsidR="00B9010E" w:rsidRPr="007E51E0">
        <w:rPr>
          <w:i/>
          <w:lang w:val="en-IE"/>
        </w:rPr>
        <w:t>Hyg</w:t>
      </w:r>
      <w:proofErr w:type="spellEnd"/>
      <w:r w:rsidR="00B9010E" w:rsidRPr="007E51E0">
        <w:rPr>
          <w:i/>
          <w:lang w:val="en-IE"/>
        </w:rPr>
        <w:t xml:space="preserve">., </w:t>
      </w:r>
      <w:r w:rsidRPr="007E51E0">
        <w:rPr>
          <w:b/>
          <w:lang w:val="en-IE"/>
        </w:rPr>
        <w:t>106</w:t>
      </w:r>
      <w:r w:rsidR="00B9010E" w:rsidRPr="007E51E0">
        <w:rPr>
          <w:lang w:val="en-IE"/>
        </w:rPr>
        <w:t xml:space="preserve">, </w:t>
      </w:r>
      <w:r w:rsidRPr="007E51E0">
        <w:rPr>
          <w:lang w:val="en-IE"/>
        </w:rPr>
        <w:t>131</w:t>
      </w:r>
      <w:r w:rsidR="00B9010E" w:rsidRPr="007E51E0">
        <w:rPr>
          <w:lang w:val="en-IE"/>
        </w:rPr>
        <w:t>–13</w:t>
      </w:r>
      <w:r w:rsidRPr="007E51E0">
        <w:rPr>
          <w:lang w:val="en-IE"/>
        </w:rPr>
        <w:t>3.</w:t>
      </w:r>
    </w:p>
    <w:p w14:paraId="5FFDBF27" w14:textId="17207CFF" w:rsidR="003D3693" w:rsidRPr="007E51E0" w:rsidRDefault="008F64D8" w:rsidP="00945E84">
      <w:pPr>
        <w:pStyle w:val="Ref"/>
        <w:tabs>
          <w:tab w:val="clear" w:pos="-720"/>
          <w:tab w:val="left" w:pos="1384"/>
        </w:tabs>
        <w:rPr>
          <w:lang w:val="en-IE"/>
        </w:rPr>
      </w:pPr>
      <w:r>
        <w:rPr>
          <w:smallCaps/>
          <w:lang w:val="en-IE"/>
        </w:rPr>
        <w:t>Rush C.M. &amp; Thomas</w:t>
      </w:r>
      <w:r w:rsidR="003D3693" w:rsidRPr="007E51E0">
        <w:rPr>
          <w:smallCaps/>
          <w:lang w:val="en-IE"/>
        </w:rPr>
        <w:t xml:space="preserve"> A.D. (2012). </w:t>
      </w:r>
      <w:r w:rsidR="003D3693" w:rsidRPr="007E51E0">
        <w:rPr>
          <w:lang w:val="en-IE"/>
        </w:rPr>
        <w:t xml:space="preserve">Melioidosis in animals. </w:t>
      </w:r>
      <w:r w:rsidR="003D3693" w:rsidRPr="007E51E0">
        <w:rPr>
          <w:i/>
          <w:lang w:val="en-IE"/>
        </w:rPr>
        <w:t xml:space="preserve">In: </w:t>
      </w:r>
      <w:r w:rsidR="003D3693" w:rsidRPr="007E51E0">
        <w:rPr>
          <w:lang w:val="en-IE"/>
        </w:rPr>
        <w:t xml:space="preserve">Melioidosis – A Century of Observations and Research. </w:t>
      </w:r>
      <w:proofErr w:type="spellStart"/>
      <w:r w:rsidR="003D3693" w:rsidRPr="007E51E0">
        <w:rPr>
          <w:lang w:val="en-IE"/>
        </w:rPr>
        <w:t>Ketheesan</w:t>
      </w:r>
      <w:proofErr w:type="spellEnd"/>
      <w:r w:rsidR="003D3693" w:rsidRPr="007E51E0">
        <w:rPr>
          <w:lang w:val="en-IE"/>
        </w:rPr>
        <w:t xml:space="preserve"> N. </w:t>
      </w:r>
      <w:r w:rsidR="000006E0" w:rsidRPr="007E51E0">
        <w:rPr>
          <w:lang w:val="en-IE"/>
        </w:rPr>
        <w:t xml:space="preserve">Ed. </w:t>
      </w:r>
      <w:r w:rsidR="003D3693" w:rsidRPr="007E51E0">
        <w:rPr>
          <w:lang w:val="en-IE"/>
        </w:rPr>
        <w:t xml:space="preserve">Elsevier BV, </w:t>
      </w:r>
      <w:r w:rsidR="00D90149" w:rsidRPr="007E51E0">
        <w:rPr>
          <w:lang w:val="en-IE"/>
        </w:rPr>
        <w:t xml:space="preserve">Amsterdam, the Netherlands, </w:t>
      </w:r>
      <w:r w:rsidR="003D3693" w:rsidRPr="007E51E0">
        <w:rPr>
          <w:lang w:val="en-IE"/>
        </w:rPr>
        <w:t>312</w:t>
      </w:r>
      <w:r w:rsidR="000006E0" w:rsidRPr="007E51E0">
        <w:rPr>
          <w:lang w:val="en-IE"/>
        </w:rPr>
        <w:t>–</w:t>
      </w:r>
      <w:r w:rsidR="003D3693" w:rsidRPr="007E51E0">
        <w:rPr>
          <w:lang w:val="en-IE"/>
        </w:rPr>
        <w:t>336.</w:t>
      </w:r>
    </w:p>
    <w:p w14:paraId="7CF8A992" w14:textId="2C7357D8" w:rsidR="007E56A8" w:rsidRPr="007E51E0" w:rsidRDefault="007E56A8" w:rsidP="00945E84">
      <w:pPr>
        <w:pStyle w:val="Ref"/>
        <w:tabs>
          <w:tab w:val="clear" w:pos="-720"/>
          <w:tab w:val="left" w:pos="1384"/>
        </w:tabs>
        <w:rPr>
          <w:lang w:val="en-IE"/>
        </w:rPr>
      </w:pPr>
      <w:r w:rsidRPr="007E51E0">
        <w:rPr>
          <w:smallCaps/>
          <w:lang w:val="en-IE"/>
        </w:rPr>
        <w:t xml:space="preserve">Scholz H.C., Joseph M., Tomaso H., Al </w:t>
      </w:r>
      <w:proofErr w:type="spellStart"/>
      <w:r w:rsidRPr="007E51E0">
        <w:rPr>
          <w:smallCaps/>
          <w:lang w:val="en-IE"/>
        </w:rPr>
        <w:t>Dahouk</w:t>
      </w:r>
      <w:proofErr w:type="spellEnd"/>
      <w:r w:rsidRPr="007E51E0">
        <w:rPr>
          <w:smallCaps/>
          <w:lang w:val="en-IE"/>
        </w:rPr>
        <w:t xml:space="preserve"> S., Witte A., Kinne J., Hagen R.M., </w:t>
      </w:r>
      <w:proofErr w:type="spellStart"/>
      <w:r w:rsidRPr="007E51E0">
        <w:rPr>
          <w:smallCaps/>
          <w:lang w:val="en-IE"/>
        </w:rPr>
        <w:t>Wernery</w:t>
      </w:r>
      <w:proofErr w:type="spellEnd"/>
      <w:r w:rsidRPr="007E51E0">
        <w:rPr>
          <w:smallCaps/>
          <w:lang w:val="en-IE"/>
        </w:rPr>
        <w:t xml:space="preserve"> R., </w:t>
      </w:r>
      <w:proofErr w:type="spellStart"/>
      <w:r w:rsidRPr="007E51E0">
        <w:rPr>
          <w:smallCaps/>
          <w:lang w:val="en-IE"/>
        </w:rPr>
        <w:t>Wernery</w:t>
      </w:r>
      <w:proofErr w:type="spellEnd"/>
      <w:r w:rsidRPr="007E51E0">
        <w:rPr>
          <w:smallCaps/>
          <w:lang w:val="en-IE"/>
        </w:rPr>
        <w:t xml:space="preserve"> U. &amp; Neubauer H.</w:t>
      </w:r>
      <w:r w:rsidRPr="007E51E0">
        <w:rPr>
          <w:lang w:val="en-IE"/>
        </w:rPr>
        <w:t xml:space="preserve"> (2006). Detection of the </w:t>
      </w:r>
      <w:proofErr w:type="spellStart"/>
      <w:r w:rsidRPr="007E51E0">
        <w:rPr>
          <w:lang w:val="en-IE"/>
        </w:rPr>
        <w:t>reemerging</w:t>
      </w:r>
      <w:proofErr w:type="spellEnd"/>
      <w:r w:rsidRPr="007E51E0">
        <w:rPr>
          <w:lang w:val="en-IE"/>
        </w:rPr>
        <w:t xml:space="preserve"> agent </w:t>
      </w:r>
      <w:proofErr w:type="spellStart"/>
      <w:r w:rsidRPr="007E51E0">
        <w:rPr>
          <w:i/>
          <w:lang w:val="en-IE"/>
        </w:rPr>
        <w:t>Burkholderia</w:t>
      </w:r>
      <w:proofErr w:type="spellEnd"/>
      <w:r w:rsidRPr="007E51E0">
        <w:rPr>
          <w:i/>
          <w:lang w:val="en-IE"/>
        </w:rPr>
        <w:t xml:space="preserve"> mallei</w:t>
      </w:r>
      <w:r w:rsidRPr="007E51E0">
        <w:rPr>
          <w:lang w:val="en-IE"/>
        </w:rPr>
        <w:t xml:space="preserve"> in a recent outbreak of glanders in the United Arab Emirates by a newly developed </w:t>
      </w:r>
      <w:proofErr w:type="spellStart"/>
      <w:r w:rsidRPr="007E51E0">
        <w:rPr>
          <w:lang w:val="en-IE"/>
        </w:rPr>
        <w:t>fliP</w:t>
      </w:r>
      <w:proofErr w:type="spellEnd"/>
      <w:r w:rsidRPr="007E51E0">
        <w:rPr>
          <w:lang w:val="en-IE"/>
        </w:rPr>
        <w:t xml:space="preserve">-based polymerase chain reaction assay. </w:t>
      </w:r>
      <w:r w:rsidRPr="007E51E0">
        <w:rPr>
          <w:i/>
          <w:lang w:val="en-IE"/>
        </w:rPr>
        <w:t xml:space="preserve">Diagn. </w:t>
      </w:r>
      <w:proofErr w:type="spellStart"/>
      <w:r w:rsidRPr="007E51E0">
        <w:rPr>
          <w:i/>
          <w:lang w:val="en-IE"/>
        </w:rPr>
        <w:t>Microbiol</w:t>
      </w:r>
      <w:proofErr w:type="spellEnd"/>
      <w:r w:rsidRPr="007E51E0">
        <w:rPr>
          <w:i/>
          <w:lang w:val="en-IE"/>
        </w:rPr>
        <w:t xml:space="preserve">. Infect. Dis., </w:t>
      </w:r>
      <w:r w:rsidRPr="007E51E0">
        <w:rPr>
          <w:b/>
          <w:lang w:val="en-IE"/>
        </w:rPr>
        <w:t>54</w:t>
      </w:r>
      <w:r w:rsidRPr="007E51E0">
        <w:rPr>
          <w:lang w:val="en-IE"/>
        </w:rPr>
        <w:t>, 241–247.</w:t>
      </w:r>
    </w:p>
    <w:p w14:paraId="6A8E39A7" w14:textId="77777777" w:rsidR="007E56A8" w:rsidRPr="007E51E0" w:rsidRDefault="007E56A8" w:rsidP="00945E84">
      <w:pPr>
        <w:pStyle w:val="Ref"/>
        <w:tabs>
          <w:tab w:val="clear" w:pos="-720"/>
          <w:tab w:val="left" w:pos="1384"/>
        </w:tabs>
        <w:rPr>
          <w:lang w:val="en-IE"/>
        </w:rPr>
      </w:pPr>
      <w:r w:rsidRPr="003A3C68">
        <w:rPr>
          <w:smallCaps/>
          <w:lang w:val="en-US"/>
        </w:rPr>
        <w:t xml:space="preserve">Sprague L.D. &amp; Neubauer H. </w:t>
      </w:r>
      <w:r w:rsidRPr="003A3C68">
        <w:rPr>
          <w:lang w:val="en-US"/>
        </w:rPr>
        <w:t xml:space="preserve">(2004). </w:t>
      </w:r>
      <w:r w:rsidRPr="007E51E0">
        <w:rPr>
          <w:lang w:val="en-IE"/>
        </w:rPr>
        <w:t xml:space="preserve">A review on animal melioidosis with special respect to epizootiology, clinical presentation and diagnostics. </w:t>
      </w:r>
      <w:r w:rsidRPr="007E51E0">
        <w:rPr>
          <w:i/>
          <w:lang w:val="en-IE"/>
        </w:rPr>
        <w:t>J. Vet. Med. B Infect. Dis. Vet. Public Health</w:t>
      </w:r>
      <w:r w:rsidRPr="007E51E0">
        <w:rPr>
          <w:lang w:val="en-IE"/>
        </w:rPr>
        <w:t xml:space="preserve">, </w:t>
      </w:r>
      <w:r w:rsidRPr="007E51E0">
        <w:rPr>
          <w:b/>
          <w:lang w:val="en-IE"/>
        </w:rPr>
        <w:t>51</w:t>
      </w:r>
      <w:r w:rsidRPr="007E51E0">
        <w:rPr>
          <w:lang w:val="en-IE"/>
        </w:rPr>
        <w:t>, 305–320.</w:t>
      </w:r>
    </w:p>
    <w:p w14:paraId="6D469FFF" w14:textId="77777777" w:rsidR="007E56A8" w:rsidRPr="007E51E0" w:rsidRDefault="007E56A8" w:rsidP="00945E84">
      <w:pPr>
        <w:pStyle w:val="Ref"/>
        <w:tabs>
          <w:tab w:val="clear" w:pos="-720"/>
          <w:tab w:val="left" w:pos="1384"/>
        </w:tabs>
        <w:rPr>
          <w:lang w:val="en-IE"/>
        </w:rPr>
      </w:pPr>
      <w:r w:rsidRPr="007E51E0">
        <w:rPr>
          <w:smallCaps/>
          <w:lang w:val="en-IE"/>
        </w:rPr>
        <w:t xml:space="preserve">Sprague L.D., Zachariah R., Neubauer H., </w:t>
      </w:r>
      <w:proofErr w:type="spellStart"/>
      <w:r w:rsidRPr="007E51E0">
        <w:rPr>
          <w:smallCaps/>
          <w:lang w:val="en-IE"/>
        </w:rPr>
        <w:t>Wernery</w:t>
      </w:r>
      <w:proofErr w:type="spellEnd"/>
      <w:r w:rsidRPr="007E51E0">
        <w:rPr>
          <w:smallCaps/>
          <w:lang w:val="en-IE"/>
        </w:rPr>
        <w:t xml:space="preserve"> R., Joseph M., Scholz H.C. &amp; </w:t>
      </w:r>
      <w:proofErr w:type="spellStart"/>
      <w:r w:rsidRPr="007E51E0">
        <w:rPr>
          <w:smallCaps/>
          <w:lang w:val="en-IE"/>
        </w:rPr>
        <w:t>Wernery</w:t>
      </w:r>
      <w:proofErr w:type="spellEnd"/>
      <w:r w:rsidRPr="007E51E0">
        <w:rPr>
          <w:smallCaps/>
          <w:lang w:val="en-IE"/>
        </w:rPr>
        <w:t xml:space="preserve"> U. </w:t>
      </w:r>
      <w:r w:rsidRPr="007E51E0">
        <w:rPr>
          <w:lang w:val="en-IE"/>
        </w:rPr>
        <w:t xml:space="preserve">(2009) Prevalence-dependent use of serological tests for diagnosing glanders in horses. </w:t>
      </w:r>
      <w:r w:rsidRPr="007E51E0">
        <w:rPr>
          <w:i/>
          <w:lang w:val="en-IE"/>
        </w:rPr>
        <w:t>BMC Vet. Res</w:t>
      </w:r>
      <w:r w:rsidRPr="007E51E0">
        <w:rPr>
          <w:lang w:val="en-IE"/>
        </w:rPr>
        <w:t xml:space="preserve">., </w:t>
      </w:r>
      <w:r w:rsidRPr="007E51E0">
        <w:rPr>
          <w:b/>
          <w:lang w:val="en-IE"/>
        </w:rPr>
        <w:t>5</w:t>
      </w:r>
      <w:r w:rsidRPr="007E51E0">
        <w:rPr>
          <w:lang w:val="en-IE"/>
        </w:rPr>
        <w:t xml:space="preserve">, 32. </w:t>
      </w:r>
    </w:p>
    <w:p w14:paraId="2320D2CA" w14:textId="77777777" w:rsidR="007E0F88" w:rsidRPr="007E51E0" w:rsidRDefault="007E0F88" w:rsidP="00945E84">
      <w:pPr>
        <w:pStyle w:val="Ref"/>
        <w:tabs>
          <w:tab w:val="clear" w:pos="-720"/>
          <w:tab w:val="left" w:pos="1384"/>
        </w:tabs>
        <w:rPr>
          <w:rStyle w:val="addmd1"/>
          <w:sz w:val="18"/>
          <w:szCs w:val="18"/>
          <w:lang w:val="en-IE"/>
        </w:rPr>
      </w:pPr>
      <w:r w:rsidRPr="007E51E0">
        <w:rPr>
          <w:rStyle w:val="addmd1"/>
          <w:smallCaps/>
          <w:sz w:val="18"/>
          <w:szCs w:val="18"/>
          <w:lang w:val="en-IE"/>
        </w:rPr>
        <w:t>St.</w:t>
      </w:r>
      <w:r w:rsidR="002B2E91" w:rsidRPr="007E51E0">
        <w:rPr>
          <w:rStyle w:val="addmd1"/>
          <w:smallCaps/>
          <w:sz w:val="18"/>
          <w:szCs w:val="18"/>
          <w:lang w:val="en-IE"/>
        </w:rPr>
        <w:t xml:space="preserve"> Georgiev V.</w:t>
      </w:r>
      <w:r w:rsidR="002B2E91" w:rsidRPr="007E51E0">
        <w:rPr>
          <w:rStyle w:val="addmd1"/>
          <w:sz w:val="18"/>
          <w:szCs w:val="18"/>
          <w:lang w:val="en-IE"/>
        </w:rPr>
        <w:t xml:space="preserve"> (2008). Glanders. </w:t>
      </w:r>
      <w:r w:rsidR="002B2E91" w:rsidRPr="007E51E0">
        <w:rPr>
          <w:rStyle w:val="addmd1"/>
          <w:i/>
          <w:sz w:val="18"/>
          <w:szCs w:val="18"/>
          <w:lang w:val="en-IE"/>
        </w:rPr>
        <w:t>In:</w:t>
      </w:r>
      <w:r w:rsidR="002B2E91" w:rsidRPr="007E51E0">
        <w:rPr>
          <w:rStyle w:val="addmd1"/>
          <w:sz w:val="18"/>
          <w:szCs w:val="18"/>
          <w:lang w:val="en-IE"/>
        </w:rPr>
        <w:t xml:space="preserve"> </w:t>
      </w:r>
      <w:r w:rsidR="002B2E91" w:rsidRPr="007E51E0">
        <w:rPr>
          <w:lang w:val="en-IE"/>
        </w:rPr>
        <w:t xml:space="preserve">National Institute of Allergy and Infectious Diseases, NIH: Impact on Global Health. Humana Press (Part of </w:t>
      </w:r>
      <w:r w:rsidR="002B2E91" w:rsidRPr="007E51E0">
        <w:rPr>
          <w:rStyle w:val="addmd1"/>
          <w:sz w:val="18"/>
          <w:szCs w:val="18"/>
          <w:lang w:val="en-IE"/>
        </w:rPr>
        <w:t xml:space="preserve">Springer </w:t>
      </w:r>
      <w:proofErr w:type="spellStart"/>
      <w:r w:rsidR="002B2E91" w:rsidRPr="007E51E0">
        <w:rPr>
          <w:rStyle w:val="addmd1"/>
          <w:sz w:val="18"/>
          <w:szCs w:val="18"/>
          <w:lang w:val="en-IE"/>
        </w:rPr>
        <w:t>Science+Business</w:t>
      </w:r>
      <w:proofErr w:type="spellEnd"/>
      <w:r w:rsidR="002B2E91" w:rsidRPr="007E51E0">
        <w:rPr>
          <w:rStyle w:val="addmd1"/>
          <w:sz w:val="18"/>
          <w:szCs w:val="18"/>
          <w:lang w:val="en-IE"/>
        </w:rPr>
        <w:t xml:space="preserve"> Media), New York, USA, 239–241.</w:t>
      </w:r>
    </w:p>
    <w:p w14:paraId="3D435345" w14:textId="77777777" w:rsidR="007E56A8" w:rsidRPr="007E51E0" w:rsidRDefault="007E56A8" w:rsidP="00945E84">
      <w:pPr>
        <w:pStyle w:val="Ref"/>
        <w:tabs>
          <w:tab w:val="clear" w:pos="-720"/>
          <w:tab w:val="left" w:pos="1384"/>
        </w:tabs>
        <w:rPr>
          <w:lang w:val="en-IE"/>
        </w:rPr>
      </w:pPr>
      <w:proofErr w:type="spellStart"/>
      <w:r w:rsidRPr="007E51E0">
        <w:rPr>
          <w:smallCaps/>
          <w:lang w:val="en-IE"/>
        </w:rPr>
        <w:t>Tanpiboonsak</w:t>
      </w:r>
      <w:proofErr w:type="spellEnd"/>
      <w:r w:rsidRPr="007E51E0">
        <w:rPr>
          <w:smallCaps/>
          <w:lang w:val="en-IE"/>
        </w:rPr>
        <w:t xml:space="preserve"> S., </w:t>
      </w:r>
      <w:proofErr w:type="spellStart"/>
      <w:r w:rsidRPr="007E51E0">
        <w:rPr>
          <w:smallCaps/>
          <w:lang w:val="en-IE"/>
        </w:rPr>
        <w:t>Paemanee</w:t>
      </w:r>
      <w:proofErr w:type="spellEnd"/>
      <w:r w:rsidRPr="007E51E0">
        <w:rPr>
          <w:smallCaps/>
          <w:lang w:val="en-IE"/>
        </w:rPr>
        <w:t xml:space="preserve"> A., </w:t>
      </w:r>
      <w:proofErr w:type="spellStart"/>
      <w:r w:rsidRPr="007E51E0">
        <w:rPr>
          <w:smallCaps/>
          <w:lang w:val="en-IE"/>
        </w:rPr>
        <w:t>Bunyarataphan</w:t>
      </w:r>
      <w:proofErr w:type="spellEnd"/>
      <w:r w:rsidRPr="007E51E0">
        <w:rPr>
          <w:smallCaps/>
          <w:lang w:val="en-IE"/>
        </w:rPr>
        <w:t xml:space="preserve"> S. &amp; </w:t>
      </w:r>
      <w:proofErr w:type="spellStart"/>
      <w:r w:rsidRPr="007E51E0">
        <w:rPr>
          <w:smallCaps/>
          <w:lang w:val="en-IE"/>
        </w:rPr>
        <w:t>Tungpradabkul</w:t>
      </w:r>
      <w:proofErr w:type="spellEnd"/>
      <w:r w:rsidRPr="007E51E0">
        <w:rPr>
          <w:smallCaps/>
          <w:lang w:val="en-IE"/>
        </w:rPr>
        <w:t xml:space="preserve"> S. (2004</w:t>
      </w:r>
      <w:r w:rsidRPr="007E51E0">
        <w:rPr>
          <w:lang w:val="en-IE"/>
        </w:rPr>
        <w:t xml:space="preserve">). PCR-RFLP based differentiation of </w:t>
      </w:r>
      <w:proofErr w:type="spellStart"/>
      <w:r w:rsidRPr="007E51E0">
        <w:rPr>
          <w:i/>
          <w:lang w:val="en-IE"/>
        </w:rPr>
        <w:t>Burkholderia</w:t>
      </w:r>
      <w:proofErr w:type="spellEnd"/>
      <w:r w:rsidRPr="007E51E0">
        <w:rPr>
          <w:i/>
          <w:lang w:val="en-IE"/>
        </w:rPr>
        <w:t xml:space="preserve"> mallei</w:t>
      </w:r>
      <w:r w:rsidRPr="007E51E0">
        <w:rPr>
          <w:lang w:val="en-IE"/>
        </w:rPr>
        <w:t xml:space="preserve"> and </w:t>
      </w:r>
      <w:proofErr w:type="spellStart"/>
      <w:r w:rsidRPr="007E51E0">
        <w:rPr>
          <w:i/>
          <w:lang w:val="en-IE"/>
        </w:rPr>
        <w:t>Burkholderia</w:t>
      </w:r>
      <w:proofErr w:type="spellEnd"/>
      <w:r w:rsidRPr="007E51E0">
        <w:rPr>
          <w:i/>
          <w:lang w:val="en-IE"/>
        </w:rPr>
        <w:t xml:space="preserve"> </w:t>
      </w:r>
      <w:proofErr w:type="spellStart"/>
      <w:r w:rsidRPr="007E51E0">
        <w:rPr>
          <w:i/>
          <w:lang w:val="en-IE"/>
        </w:rPr>
        <w:t>pseudomallei</w:t>
      </w:r>
      <w:proofErr w:type="spellEnd"/>
      <w:r w:rsidRPr="007E51E0">
        <w:rPr>
          <w:lang w:val="en-IE"/>
        </w:rPr>
        <w:t xml:space="preserve">. </w:t>
      </w:r>
      <w:r w:rsidRPr="007E51E0">
        <w:rPr>
          <w:i/>
          <w:lang w:val="en-IE"/>
        </w:rPr>
        <w:t>Mol. Cell. Probes</w:t>
      </w:r>
      <w:r w:rsidRPr="007E51E0">
        <w:rPr>
          <w:lang w:val="en-IE"/>
        </w:rPr>
        <w:t xml:space="preserve">., </w:t>
      </w:r>
      <w:r w:rsidRPr="007E51E0">
        <w:rPr>
          <w:b/>
          <w:lang w:val="en-IE"/>
        </w:rPr>
        <w:t>18</w:t>
      </w:r>
      <w:r w:rsidRPr="007E51E0">
        <w:rPr>
          <w:lang w:val="en-IE"/>
        </w:rPr>
        <w:t>, 97–101.</w:t>
      </w:r>
    </w:p>
    <w:p w14:paraId="1C610DAA" w14:textId="192EAB88" w:rsidR="007E56A8" w:rsidRPr="007E51E0" w:rsidRDefault="007E56A8" w:rsidP="00945E84">
      <w:pPr>
        <w:pStyle w:val="Ref"/>
        <w:tabs>
          <w:tab w:val="clear" w:pos="-720"/>
          <w:tab w:val="left" w:pos="1384"/>
        </w:tabs>
        <w:rPr>
          <w:lang w:val="en-IE"/>
        </w:rPr>
      </w:pPr>
      <w:r w:rsidRPr="007E51E0">
        <w:rPr>
          <w:smallCaps/>
          <w:lang w:val="en-IE"/>
        </w:rPr>
        <w:t xml:space="preserve">Tomaso H., Scholz H.C., Al </w:t>
      </w:r>
      <w:proofErr w:type="spellStart"/>
      <w:r w:rsidRPr="007E51E0">
        <w:rPr>
          <w:smallCaps/>
          <w:lang w:val="en-IE"/>
        </w:rPr>
        <w:t>Dahouk</w:t>
      </w:r>
      <w:proofErr w:type="spellEnd"/>
      <w:r w:rsidRPr="007E51E0">
        <w:rPr>
          <w:smallCaps/>
          <w:lang w:val="en-IE"/>
        </w:rPr>
        <w:t xml:space="preserve"> S., Eickhoff M., Treu T.M., </w:t>
      </w:r>
      <w:proofErr w:type="spellStart"/>
      <w:r w:rsidRPr="007E51E0">
        <w:rPr>
          <w:smallCaps/>
          <w:lang w:val="en-IE"/>
        </w:rPr>
        <w:t>Wernery</w:t>
      </w:r>
      <w:proofErr w:type="spellEnd"/>
      <w:r w:rsidRPr="007E51E0">
        <w:rPr>
          <w:smallCaps/>
          <w:lang w:val="en-IE"/>
        </w:rPr>
        <w:t xml:space="preserve"> R., </w:t>
      </w:r>
      <w:proofErr w:type="spellStart"/>
      <w:r w:rsidRPr="007E51E0">
        <w:rPr>
          <w:smallCaps/>
          <w:lang w:val="en-IE"/>
        </w:rPr>
        <w:t>Wernery</w:t>
      </w:r>
      <w:proofErr w:type="spellEnd"/>
      <w:r w:rsidRPr="007E51E0">
        <w:rPr>
          <w:smallCaps/>
          <w:lang w:val="en-IE"/>
        </w:rPr>
        <w:t xml:space="preserve"> U. &amp; Neubauer H.</w:t>
      </w:r>
      <w:r w:rsidRPr="007E51E0">
        <w:rPr>
          <w:lang w:val="en-IE"/>
        </w:rPr>
        <w:t xml:space="preserve"> (2006). Development of a 5</w:t>
      </w:r>
      <w:r w:rsidR="00A74BA8">
        <w:rPr>
          <w:lang w:val="en-IE"/>
        </w:rPr>
        <w:t>’</w:t>
      </w:r>
      <w:r w:rsidRPr="007E51E0">
        <w:rPr>
          <w:lang w:val="en-IE"/>
        </w:rPr>
        <w:t xml:space="preserve">-nuclease real-time PCR assay targeting </w:t>
      </w:r>
      <w:proofErr w:type="spellStart"/>
      <w:r w:rsidRPr="007E51E0">
        <w:rPr>
          <w:lang w:val="en-IE"/>
        </w:rPr>
        <w:t>fliP</w:t>
      </w:r>
      <w:proofErr w:type="spellEnd"/>
      <w:r w:rsidRPr="007E51E0">
        <w:rPr>
          <w:lang w:val="en-IE"/>
        </w:rPr>
        <w:t xml:space="preserve"> for the rapid identification of </w:t>
      </w:r>
      <w:proofErr w:type="spellStart"/>
      <w:r w:rsidRPr="007E51E0">
        <w:rPr>
          <w:i/>
          <w:lang w:val="en-IE"/>
        </w:rPr>
        <w:t>Burkholderia</w:t>
      </w:r>
      <w:proofErr w:type="spellEnd"/>
      <w:r w:rsidRPr="007E51E0">
        <w:rPr>
          <w:i/>
          <w:lang w:val="en-IE"/>
        </w:rPr>
        <w:t xml:space="preserve"> mallei</w:t>
      </w:r>
      <w:r w:rsidRPr="007E51E0">
        <w:rPr>
          <w:lang w:val="en-IE"/>
        </w:rPr>
        <w:t xml:space="preserve"> in clinical samples. </w:t>
      </w:r>
      <w:r w:rsidRPr="007E51E0">
        <w:rPr>
          <w:i/>
          <w:lang w:val="en-IE"/>
        </w:rPr>
        <w:t>Clin. Chem</w:t>
      </w:r>
      <w:r w:rsidRPr="007E51E0">
        <w:rPr>
          <w:lang w:val="en-IE"/>
        </w:rPr>
        <w:t xml:space="preserve">., </w:t>
      </w:r>
      <w:r w:rsidRPr="007E51E0">
        <w:rPr>
          <w:b/>
          <w:lang w:val="en-IE"/>
        </w:rPr>
        <w:t>52</w:t>
      </w:r>
      <w:r w:rsidRPr="007E51E0">
        <w:rPr>
          <w:lang w:val="en-IE"/>
        </w:rPr>
        <w:t>, 307–310.</w:t>
      </w:r>
    </w:p>
    <w:p w14:paraId="231C67B0" w14:textId="5DDBA388" w:rsidR="000B0EC9" w:rsidRPr="007E51E0" w:rsidRDefault="000B0EC9" w:rsidP="00945E84">
      <w:pPr>
        <w:pStyle w:val="Ref"/>
        <w:tabs>
          <w:tab w:val="clear" w:pos="-720"/>
          <w:tab w:val="left" w:pos="1384"/>
        </w:tabs>
        <w:rPr>
          <w:smallCaps/>
          <w:lang w:val="en-IE"/>
        </w:rPr>
      </w:pPr>
      <w:r w:rsidRPr="007E51E0">
        <w:rPr>
          <w:smallCaps/>
          <w:lang w:val="en-IE"/>
        </w:rPr>
        <w:t>Trung</w:t>
      </w:r>
      <w:r w:rsidR="00BA05FC" w:rsidRPr="007E51E0">
        <w:rPr>
          <w:smallCaps/>
          <w:lang w:val="en-IE"/>
        </w:rPr>
        <w:t xml:space="preserve"> T.T., </w:t>
      </w:r>
      <w:r w:rsidRPr="007E51E0">
        <w:rPr>
          <w:smallCaps/>
          <w:lang w:val="en-IE"/>
        </w:rPr>
        <w:t>Hetzer A</w:t>
      </w:r>
      <w:r w:rsidR="009800B4" w:rsidRPr="007E51E0">
        <w:rPr>
          <w:smallCaps/>
          <w:lang w:val="en-IE"/>
        </w:rPr>
        <w:t>.</w:t>
      </w:r>
      <w:r w:rsidRPr="007E51E0">
        <w:rPr>
          <w:smallCaps/>
          <w:lang w:val="en-IE"/>
        </w:rPr>
        <w:t xml:space="preserve">, </w:t>
      </w:r>
      <w:proofErr w:type="spellStart"/>
      <w:r w:rsidRPr="007E51E0">
        <w:rPr>
          <w:smallCaps/>
          <w:lang w:val="en-IE"/>
        </w:rPr>
        <w:t>Topfstedt</w:t>
      </w:r>
      <w:proofErr w:type="spellEnd"/>
      <w:r w:rsidRPr="007E51E0">
        <w:rPr>
          <w:smallCaps/>
          <w:lang w:val="en-IE"/>
        </w:rPr>
        <w:t xml:space="preserve"> E</w:t>
      </w:r>
      <w:r w:rsidR="009800B4" w:rsidRPr="007E51E0">
        <w:rPr>
          <w:smallCaps/>
          <w:lang w:val="en-IE"/>
        </w:rPr>
        <w:t>.</w:t>
      </w:r>
      <w:r w:rsidRPr="007E51E0">
        <w:rPr>
          <w:smallCaps/>
          <w:lang w:val="en-IE"/>
        </w:rPr>
        <w:t xml:space="preserve">, </w:t>
      </w:r>
      <w:proofErr w:type="spellStart"/>
      <w:r w:rsidRPr="007E51E0">
        <w:rPr>
          <w:smallCaps/>
          <w:lang w:val="en-IE"/>
        </w:rPr>
        <w:t>Göhler</w:t>
      </w:r>
      <w:proofErr w:type="spellEnd"/>
      <w:r w:rsidRPr="007E51E0">
        <w:rPr>
          <w:smallCaps/>
          <w:lang w:val="en-IE"/>
        </w:rPr>
        <w:t xml:space="preserve"> A</w:t>
      </w:r>
      <w:r w:rsidR="009800B4" w:rsidRPr="007E51E0">
        <w:rPr>
          <w:smallCaps/>
          <w:lang w:val="en-IE"/>
        </w:rPr>
        <w:t>.</w:t>
      </w:r>
      <w:r w:rsidRPr="007E51E0">
        <w:rPr>
          <w:smallCaps/>
          <w:lang w:val="en-IE"/>
        </w:rPr>
        <w:t xml:space="preserve">, </w:t>
      </w:r>
      <w:proofErr w:type="spellStart"/>
      <w:r w:rsidRPr="007E51E0">
        <w:rPr>
          <w:smallCaps/>
          <w:lang w:val="en-IE"/>
        </w:rPr>
        <w:t>Limmathurotsakul</w:t>
      </w:r>
      <w:proofErr w:type="spellEnd"/>
      <w:r w:rsidRPr="007E51E0">
        <w:rPr>
          <w:smallCaps/>
          <w:lang w:val="en-IE"/>
        </w:rPr>
        <w:t xml:space="preserve"> D</w:t>
      </w:r>
      <w:r w:rsidR="009800B4" w:rsidRPr="007E51E0">
        <w:rPr>
          <w:smallCaps/>
          <w:lang w:val="en-IE"/>
        </w:rPr>
        <w:t>.</w:t>
      </w:r>
      <w:r w:rsidRPr="007E51E0">
        <w:rPr>
          <w:smallCaps/>
          <w:lang w:val="en-IE"/>
        </w:rPr>
        <w:t xml:space="preserve">, </w:t>
      </w:r>
      <w:proofErr w:type="spellStart"/>
      <w:r w:rsidRPr="007E51E0">
        <w:rPr>
          <w:smallCaps/>
          <w:lang w:val="en-IE"/>
        </w:rPr>
        <w:t>Wuthiekanun</w:t>
      </w:r>
      <w:proofErr w:type="spellEnd"/>
      <w:r w:rsidRPr="007E51E0">
        <w:rPr>
          <w:smallCaps/>
          <w:lang w:val="en-IE"/>
        </w:rPr>
        <w:t xml:space="preserve"> V</w:t>
      </w:r>
      <w:r w:rsidR="009800B4" w:rsidRPr="007E51E0">
        <w:rPr>
          <w:smallCaps/>
          <w:lang w:val="en-IE"/>
        </w:rPr>
        <w:t>.</w:t>
      </w:r>
      <w:r w:rsidRPr="007E51E0">
        <w:rPr>
          <w:smallCaps/>
          <w:lang w:val="en-IE"/>
        </w:rPr>
        <w:t>, Peacock S</w:t>
      </w:r>
      <w:r w:rsidR="009800B4" w:rsidRPr="007E51E0">
        <w:rPr>
          <w:smallCaps/>
          <w:lang w:val="en-IE"/>
        </w:rPr>
        <w:t>.</w:t>
      </w:r>
      <w:r w:rsidRPr="007E51E0">
        <w:rPr>
          <w:smallCaps/>
          <w:lang w:val="en-IE"/>
        </w:rPr>
        <w:t>J</w:t>
      </w:r>
      <w:r w:rsidR="009800B4" w:rsidRPr="007E51E0">
        <w:rPr>
          <w:smallCaps/>
          <w:lang w:val="en-IE"/>
        </w:rPr>
        <w:t>. &amp;</w:t>
      </w:r>
      <w:r w:rsidRPr="007E51E0">
        <w:rPr>
          <w:smallCaps/>
          <w:lang w:val="en-IE"/>
        </w:rPr>
        <w:t xml:space="preserve"> Steinmetz I. </w:t>
      </w:r>
      <w:r w:rsidRPr="007E51E0">
        <w:rPr>
          <w:lang w:val="en-IE"/>
        </w:rPr>
        <w:t>(2011). Improved culture-based detection</w:t>
      </w:r>
      <w:r w:rsidR="00BA05FC" w:rsidRPr="007E51E0">
        <w:rPr>
          <w:lang w:val="en-IE"/>
        </w:rPr>
        <w:t xml:space="preserve"> </w:t>
      </w:r>
      <w:r w:rsidRPr="007E51E0">
        <w:rPr>
          <w:lang w:val="en-IE"/>
        </w:rPr>
        <w:t xml:space="preserve">and quantification of </w:t>
      </w:r>
      <w:proofErr w:type="spellStart"/>
      <w:r w:rsidRPr="007E51E0">
        <w:rPr>
          <w:i/>
          <w:lang w:val="en-IE"/>
        </w:rPr>
        <w:t>Burkholderia</w:t>
      </w:r>
      <w:proofErr w:type="spellEnd"/>
      <w:r w:rsidRPr="007E51E0">
        <w:rPr>
          <w:i/>
          <w:lang w:val="en-IE"/>
        </w:rPr>
        <w:t xml:space="preserve"> </w:t>
      </w:r>
      <w:proofErr w:type="spellStart"/>
      <w:r w:rsidRPr="007E51E0">
        <w:rPr>
          <w:i/>
          <w:lang w:val="en-IE"/>
        </w:rPr>
        <w:t>pseudomallei</w:t>
      </w:r>
      <w:proofErr w:type="spellEnd"/>
      <w:r w:rsidRPr="007E51E0">
        <w:rPr>
          <w:lang w:val="en-IE"/>
        </w:rPr>
        <w:t xml:space="preserve"> from soil. </w:t>
      </w:r>
      <w:r w:rsidRPr="007E51E0">
        <w:rPr>
          <w:i/>
          <w:lang w:val="en-IE"/>
        </w:rPr>
        <w:t>Trans</w:t>
      </w:r>
      <w:r w:rsidR="00B9010E" w:rsidRPr="007E51E0">
        <w:rPr>
          <w:i/>
          <w:lang w:val="en-IE"/>
        </w:rPr>
        <w:t>.</w:t>
      </w:r>
      <w:r w:rsidRPr="007E51E0">
        <w:rPr>
          <w:i/>
          <w:lang w:val="en-IE"/>
        </w:rPr>
        <w:t xml:space="preserve"> R</w:t>
      </w:r>
      <w:r w:rsidR="00B9010E" w:rsidRPr="007E51E0">
        <w:rPr>
          <w:i/>
          <w:lang w:val="en-IE"/>
        </w:rPr>
        <w:t>.</w:t>
      </w:r>
      <w:r w:rsidRPr="007E51E0">
        <w:rPr>
          <w:i/>
          <w:lang w:val="en-IE"/>
        </w:rPr>
        <w:t xml:space="preserve"> Soc</w:t>
      </w:r>
      <w:r w:rsidR="00B9010E" w:rsidRPr="007E51E0">
        <w:rPr>
          <w:i/>
          <w:lang w:val="en-IE"/>
        </w:rPr>
        <w:t>.</w:t>
      </w:r>
      <w:r w:rsidRPr="007E51E0">
        <w:rPr>
          <w:i/>
          <w:lang w:val="en-IE"/>
        </w:rPr>
        <w:t xml:space="preserve"> Trop</w:t>
      </w:r>
      <w:r w:rsidR="00B9010E" w:rsidRPr="007E51E0">
        <w:rPr>
          <w:i/>
          <w:lang w:val="en-IE"/>
        </w:rPr>
        <w:t>.</w:t>
      </w:r>
      <w:r w:rsidRPr="007E51E0">
        <w:rPr>
          <w:i/>
          <w:lang w:val="en-IE"/>
        </w:rPr>
        <w:t xml:space="preserve"> Med</w:t>
      </w:r>
      <w:r w:rsidR="00B9010E" w:rsidRPr="007E51E0">
        <w:rPr>
          <w:i/>
          <w:lang w:val="en-IE"/>
        </w:rPr>
        <w:t>.</w:t>
      </w:r>
      <w:r w:rsidRPr="007E51E0">
        <w:rPr>
          <w:i/>
          <w:lang w:val="en-IE"/>
        </w:rPr>
        <w:t xml:space="preserve"> </w:t>
      </w:r>
      <w:proofErr w:type="spellStart"/>
      <w:r w:rsidRPr="007E51E0">
        <w:rPr>
          <w:i/>
          <w:lang w:val="en-IE"/>
        </w:rPr>
        <w:t>Hyg</w:t>
      </w:r>
      <w:proofErr w:type="spellEnd"/>
      <w:r w:rsidRPr="007E51E0">
        <w:rPr>
          <w:lang w:val="en-IE"/>
        </w:rPr>
        <w:t>.</w:t>
      </w:r>
      <w:r w:rsidR="00B9010E" w:rsidRPr="007E51E0">
        <w:rPr>
          <w:lang w:val="en-IE"/>
        </w:rPr>
        <w:t>,</w:t>
      </w:r>
      <w:r w:rsidRPr="007E51E0">
        <w:rPr>
          <w:lang w:val="en-IE"/>
        </w:rPr>
        <w:t xml:space="preserve"> </w:t>
      </w:r>
      <w:r w:rsidRPr="007E51E0">
        <w:rPr>
          <w:b/>
          <w:lang w:val="en-IE"/>
        </w:rPr>
        <w:t>105</w:t>
      </w:r>
      <w:r w:rsidR="00B9010E" w:rsidRPr="007E51E0">
        <w:rPr>
          <w:lang w:val="en-IE"/>
        </w:rPr>
        <w:t xml:space="preserve">, </w:t>
      </w:r>
      <w:r w:rsidRPr="007E51E0">
        <w:rPr>
          <w:lang w:val="en-IE"/>
        </w:rPr>
        <w:t>346</w:t>
      </w:r>
      <w:r w:rsidR="00B9010E" w:rsidRPr="007E51E0">
        <w:rPr>
          <w:lang w:val="en-IE"/>
        </w:rPr>
        <w:t>–3</w:t>
      </w:r>
      <w:r w:rsidRPr="007E51E0">
        <w:rPr>
          <w:lang w:val="en-IE"/>
        </w:rPr>
        <w:t>51.</w:t>
      </w:r>
    </w:p>
    <w:p w14:paraId="36BDA730" w14:textId="77777777" w:rsidR="00536671" w:rsidRPr="007E51E0" w:rsidRDefault="00536671" w:rsidP="00945E84">
      <w:pPr>
        <w:pStyle w:val="Ref"/>
        <w:tabs>
          <w:tab w:val="clear" w:pos="-720"/>
          <w:tab w:val="left" w:pos="1384"/>
        </w:tabs>
        <w:rPr>
          <w:lang w:val="en-IE"/>
        </w:rPr>
      </w:pPr>
      <w:proofErr w:type="spellStart"/>
      <w:r w:rsidRPr="007E51E0">
        <w:rPr>
          <w:smallCaps/>
          <w:lang w:val="en-IE"/>
        </w:rPr>
        <w:t>Wernery</w:t>
      </w:r>
      <w:proofErr w:type="spellEnd"/>
      <w:r w:rsidRPr="007E51E0">
        <w:rPr>
          <w:smallCaps/>
          <w:lang w:val="en-IE"/>
        </w:rPr>
        <w:t xml:space="preserve"> U. (2009). </w:t>
      </w:r>
      <w:r w:rsidRPr="007E51E0">
        <w:rPr>
          <w:lang w:val="en-IE"/>
        </w:rPr>
        <w:t xml:space="preserve">Glanders. </w:t>
      </w:r>
      <w:r w:rsidRPr="007E51E0">
        <w:rPr>
          <w:i/>
          <w:lang w:val="en-IE"/>
        </w:rPr>
        <w:t>In:</w:t>
      </w:r>
      <w:r w:rsidRPr="007E51E0">
        <w:rPr>
          <w:lang w:val="en-IE"/>
        </w:rPr>
        <w:t xml:space="preserve"> Infectious Diseases of the Horse, Mair T.S. &amp; Hutchinson R.E., eds. </w:t>
      </w:r>
      <w:r w:rsidR="00D56D96" w:rsidRPr="007E51E0">
        <w:rPr>
          <w:lang w:val="en-IE" w:eastAsia="de-DE"/>
        </w:rPr>
        <w:t>Equine Veterinary Journal Ltd, Cambridgeshire, UK,</w:t>
      </w:r>
      <w:r w:rsidR="00D56D96" w:rsidRPr="007E51E0">
        <w:rPr>
          <w:lang w:val="en-IE"/>
        </w:rPr>
        <w:t xml:space="preserve"> </w:t>
      </w:r>
      <w:r w:rsidRPr="007E51E0">
        <w:rPr>
          <w:lang w:val="en-IE"/>
        </w:rPr>
        <w:t>253</w:t>
      </w:r>
      <w:r w:rsidR="00D56D96" w:rsidRPr="007E51E0">
        <w:rPr>
          <w:lang w:val="en-IE"/>
        </w:rPr>
        <w:t>–</w:t>
      </w:r>
      <w:r w:rsidRPr="007E51E0">
        <w:rPr>
          <w:lang w:val="en-IE"/>
        </w:rPr>
        <w:t>260.</w:t>
      </w:r>
    </w:p>
    <w:p w14:paraId="24C3B18F" w14:textId="77777777" w:rsidR="007E56A8" w:rsidRPr="007E51E0" w:rsidRDefault="007E56A8" w:rsidP="00945E84">
      <w:pPr>
        <w:pStyle w:val="Ref"/>
        <w:tabs>
          <w:tab w:val="clear" w:pos="-720"/>
          <w:tab w:val="left" w:pos="1384"/>
        </w:tabs>
        <w:rPr>
          <w:lang w:val="en-IE"/>
        </w:rPr>
      </w:pPr>
      <w:r w:rsidRPr="007E51E0">
        <w:rPr>
          <w:smallCaps/>
          <w:lang w:val="en-IE"/>
        </w:rPr>
        <w:t xml:space="preserve">Wittig M.B., </w:t>
      </w:r>
      <w:proofErr w:type="spellStart"/>
      <w:r w:rsidRPr="007E51E0">
        <w:rPr>
          <w:smallCaps/>
          <w:lang w:val="en-IE"/>
        </w:rPr>
        <w:t>Wohlsein</w:t>
      </w:r>
      <w:proofErr w:type="spellEnd"/>
      <w:r w:rsidRPr="007E51E0">
        <w:rPr>
          <w:smallCaps/>
          <w:lang w:val="en-IE"/>
        </w:rPr>
        <w:t xml:space="preserve"> P., Hagen R.M., Al </w:t>
      </w:r>
      <w:proofErr w:type="spellStart"/>
      <w:r w:rsidRPr="007E51E0">
        <w:rPr>
          <w:smallCaps/>
          <w:lang w:val="en-IE"/>
        </w:rPr>
        <w:t>Dahouk</w:t>
      </w:r>
      <w:proofErr w:type="spellEnd"/>
      <w:r w:rsidRPr="007E51E0">
        <w:rPr>
          <w:smallCaps/>
          <w:lang w:val="en-IE"/>
        </w:rPr>
        <w:t xml:space="preserve"> S., Tomaso H., Scholz H.C., Nikolaou K., </w:t>
      </w:r>
      <w:proofErr w:type="spellStart"/>
      <w:r w:rsidRPr="007E51E0">
        <w:rPr>
          <w:smallCaps/>
          <w:lang w:val="en-IE"/>
        </w:rPr>
        <w:t>Wernery</w:t>
      </w:r>
      <w:proofErr w:type="spellEnd"/>
      <w:r w:rsidRPr="007E51E0">
        <w:rPr>
          <w:smallCaps/>
          <w:lang w:val="en-IE"/>
        </w:rPr>
        <w:t xml:space="preserve"> R., </w:t>
      </w:r>
      <w:proofErr w:type="spellStart"/>
      <w:r w:rsidRPr="007E51E0">
        <w:rPr>
          <w:smallCaps/>
          <w:lang w:val="en-IE"/>
        </w:rPr>
        <w:t>Wernery</w:t>
      </w:r>
      <w:proofErr w:type="spellEnd"/>
      <w:r w:rsidRPr="007E51E0">
        <w:rPr>
          <w:smallCaps/>
          <w:lang w:val="en-IE"/>
        </w:rPr>
        <w:t xml:space="preserve"> U., Kinne J., Elschner M. &amp; Neubauer H.</w:t>
      </w:r>
      <w:r w:rsidRPr="007E51E0">
        <w:rPr>
          <w:lang w:val="en-IE"/>
        </w:rPr>
        <w:t xml:space="preserve"> (2006). Glanders – a comprehensive review. </w:t>
      </w:r>
      <w:proofErr w:type="spellStart"/>
      <w:r w:rsidRPr="007E51E0">
        <w:rPr>
          <w:i/>
          <w:lang w:val="en-IE"/>
        </w:rPr>
        <w:t>Dtsch</w:t>
      </w:r>
      <w:proofErr w:type="spellEnd"/>
      <w:r w:rsidRPr="007E51E0">
        <w:rPr>
          <w:i/>
          <w:lang w:val="en-IE"/>
        </w:rPr>
        <w:t xml:space="preserve">. </w:t>
      </w:r>
      <w:proofErr w:type="spellStart"/>
      <w:r w:rsidRPr="007E51E0">
        <w:rPr>
          <w:i/>
          <w:lang w:val="en-IE"/>
        </w:rPr>
        <w:t>Tierarztl</w:t>
      </w:r>
      <w:proofErr w:type="spellEnd"/>
      <w:r w:rsidRPr="007E51E0">
        <w:rPr>
          <w:i/>
          <w:lang w:val="en-IE"/>
        </w:rPr>
        <w:t xml:space="preserve">. </w:t>
      </w:r>
      <w:proofErr w:type="spellStart"/>
      <w:r w:rsidRPr="007E51E0">
        <w:rPr>
          <w:i/>
          <w:lang w:val="en-IE"/>
        </w:rPr>
        <w:t>Wochenschr</w:t>
      </w:r>
      <w:proofErr w:type="spellEnd"/>
      <w:r w:rsidRPr="007E51E0">
        <w:rPr>
          <w:i/>
          <w:lang w:val="en-IE"/>
        </w:rPr>
        <w:t>.,</w:t>
      </w:r>
      <w:r w:rsidRPr="007E51E0">
        <w:rPr>
          <w:lang w:val="en-IE"/>
        </w:rPr>
        <w:t xml:space="preserve"> </w:t>
      </w:r>
      <w:r w:rsidRPr="007E51E0">
        <w:rPr>
          <w:b/>
          <w:lang w:val="en-IE"/>
        </w:rPr>
        <w:t>113</w:t>
      </w:r>
      <w:r w:rsidRPr="007E51E0">
        <w:rPr>
          <w:lang w:val="en-IE"/>
        </w:rPr>
        <w:t>, 323–230.</w:t>
      </w:r>
    </w:p>
    <w:p w14:paraId="027F7B9E" w14:textId="77777777" w:rsidR="007E56A8" w:rsidRPr="007E51E0" w:rsidRDefault="007E56A8" w:rsidP="00945E84">
      <w:pPr>
        <w:pStyle w:val="Ref"/>
        <w:tabs>
          <w:tab w:val="clear" w:pos="-720"/>
          <w:tab w:val="left" w:pos="1384"/>
        </w:tabs>
        <w:rPr>
          <w:lang w:val="en-IE"/>
        </w:rPr>
      </w:pPr>
      <w:r w:rsidRPr="007E51E0">
        <w:rPr>
          <w:smallCaps/>
          <w:lang w:val="en-IE"/>
        </w:rPr>
        <w:t xml:space="preserve">Xie X., Xu F., Xu B., Duan X. &amp; Gong R. </w:t>
      </w:r>
      <w:r w:rsidRPr="007E51E0">
        <w:rPr>
          <w:lang w:val="en-IE"/>
        </w:rPr>
        <w:t xml:space="preserve">(1980). A New Selective Medium for Isolation of Glanders Bacilli. Collected papers of veterinary research. Control Institute of Veterinary Biologics, Ministry of Agriculture, Peking, China (People’s Rep. of), </w:t>
      </w:r>
      <w:r w:rsidRPr="007E51E0">
        <w:rPr>
          <w:b/>
          <w:lang w:val="en-IE"/>
        </w:rPr>
        <w:t>6</w:t>
      </w:r>
      <w:r w:rsidRPr="007E51E0">
        <w:rPr>
          <w:lang w:val="en-IE"/>
        </w:rPr>
        <w:t>, 83–90.</w:t>
      </w:r>
    </w:p>
    <w:p w14:paraId="6FB60681" w14:textId="77777777" w:rsidR="007E56A8" w:rsidRPr="007E51E0" w:rsidRDefault="007E56A8" w:rsidP="00945E84">
      <w:pPr>
        <w:pStyle w:val="Ref"/>
        <w:tabs>
          <w:tab w:val="clear" w:pos="-720"/>
          <w:tab w:val="left" w:pos="1384"/>
        </w:tabs>
        <w:rPr>
          <w:lang w:val="en-IE"/>
        </w:rPr>
      </w:pPr>
      <w:proofErr w:type="spellStart"/>
      <w:r w:rsidRPr="007E51E0">
        <w:rPr>
          <w:smallCaps/>
          <w:lang w:val="en-IE"/>
        </w:rPr>
        <w:t>Yabuuchi</w:t>
      </w:r>
      <w:proofErr w:type="spellEnd"/>
      <w:r w:rsidRPr="007E51E0">
        <w:rPr>
          <w:smallCaps/>
          <w:lang w:val="en-IE"/>
        </w:rPr>
        <w:t xml:space="preserve"> E., </w:t>
      </w:r>
      <w:proofErr w:type="spellStart"/>
      <w:r w:rsidRPr="007E51E0">
        <w:rPr>
          <w:smallCaps/>
          <w:lang w:val="en-IE"/>
        </w:rPr>
        <w:t>Kosako</w:t>
      </w:r>
      <w:proofErr w:type="spellEnd"/>
      <w:r w:rsidRPr="007E51E0">
        <w:rPr>
          <w:smallCaps/>
          <w:lang w:val="en-IE"/>
        </w:rPr>
        <w:t xml:space="preserve"> Y., Oyaizu H., Yano I., Hotta H., Hashimoto Y., Ezaki T. &amp; Arakawa M.</w:t>
      </w:r>
      <w:r w:rsidRPr="007E51E0">
        <w:rPr>
          <w:lang w:val="en-IE"/>
        </w:rPr>
        <w:t xml:space="preserve"> (1992). Proposal of </w:t>
      </w:r>
      <w:proofErr w:type="spellStart"/>
      <w:r w:rsidRPr="007E51E0">
        <w:rPr>
          <w:i/>
          <w:iCs/>
          <w:lang w:val="en-IE"/>
        </w:rPr>
        <w:t>Burkholderia</w:t>
      </w:r>
      <w:proofErr w:type="spellEnd"/>
      <w:r w:rsidRPr="007E51E0">
        <w:rPr>
          <w:lang w:val="en-IE"/>
        </w:rPr>
        <w:t xml:space="preserve"> gen. </w:t>
      </w:r>
      <w:proofErr w:type="spellStart"/>
      <w:r w:rsidRPr="007E51E0">
        <w:rPr>
          <w:lang w:val="en-IE"/>
        </w:rPr>
        <w:t>nov.</w:t>
      </w:r>
      <w:proofErr w:type="spellEnd"/>
      <w:r w:rsidRPr="007E51E0">
        <w:rPr>
          <w:lang w:val="en-IE"/>
        </w:rPr>
        <w:t xml:space="preserve"> and transfer of seven species of the genus </w:t>
      </w:r>
      <w:r w:rsidRPr="007E51E0">
        <w:rPr>
          <w:i/>
          <w:iCs/>
          <w:lang w:val="en-IE"/>
        </w:rPr>
        <w:t>Pseudomonas</w:t>
      </w:r>
      <w:r w:rsidRPr="007E51E0">
        <w:rPr>
          <w:lang w:val="en-IE"/>
        </w:rPr>
        <w:t xml:space="preserve"> homology group II to the new genus with the type species </w:t>
      </w:r>
      <w:proofErr w:type="spellStart"/>
      <w:r w:rsidRPr="007E51E0">
        <w:rPr>
          <w:i/>
          <w:iCs/>
          <w:lang w:val="en-IE"/>
        </w:rPr>
        <w:t>Burkholderia</w:t>
      </w:r>
      <w:proofErr w:type="spellEnd"/>
      <w:r w:rsidRPr="007E51E0">
        <w:rPr>
          <w:i/>
          <w:iCs/>
          <w:lang w:val="en-IE"/>
        </w:rPr>
        <w:t xml:space="preserve"> </w:t>
      </w:r>
      <w:proofErr w:type="spellStart"/>
      <w:r w:rsidRPr="007E51E0">
        <w:rPr>
          <w:i/>
          <w:iCs/>
          <w:lang w:val="en-IE"/>
        </w:rPr>
        <w:t>cepacia</w:t>
      </w:r>
      <w:proofErr w:type="spellEnd"/>
      <w:r w:rsidRPr="007E51E0">
        <w:rPr>
          <w:lang w:val="en-IE"/>
        </w:rPr>
        <w:t xml:space="preserve"> (</w:t>
      </w:r>
      <w:proofErr w:type="spellStart"/>
      <w:r w:rsidRPr="007E51E0">
        <w:rPr>
          <w:lang w:val="en-IE"/>
        </w:rPr>
        <w:t>Palleroni</w:t>
      </w:r>
      <w:proofErr w:type="spellEnd"/>
      <w:r w:rsidRPr="007E51E0">
        <w:rPr>
          <w:lang w:val="en-IE"/>
        </w:rPr>
        <w:t xml:space="preserve"> and Holmes 1981) comb. </w:t>
      </w:r>
      <w:proofErr w:type="spellStart"/>
      <w:r w:rsidRPr="007E51E0">
        <w:rPr>
          <w:lang w:val="en-IE"/>
        </w:rPr>
        <w:t>nov.</w:t>
      </w:r>
      <w:proofErr w:type="spellEnd"/>
      <w:r w:rsidRPr="007E51E0">
        <w:rPr>
          <w:lang w:val="en-IE"/>
        </w:rPr>
        <w:t xml:space="preserve"> </w:t>
      </w:r>
      <w:proofErr w:type="spellStart"/>
      <w:r w:rsidRPr="007E51E0">
        <w:rPr>
          <w:i/>
          <w:iCs/>
          <w:lang w:val="en-IE"/>
        </w:rPr>
        <w:t>Microbiol</w:t>
      </w:r>
      <w:proofErr w:type="spellEnd"/>
      <w:r w:rsidRPr="007E51E0">
        <w:rPr>
          <w:i/>
          <w:iCs/>
          <w:lang w:val="en-IE"/>
        </w:rPr>
        <w:t>. Immunol</w:t>
      </w:r>
      <w:r w:rsidRPr="007E51E0">
        <w:rPr>
          <w:lang w:val="en-IE"/>
        </w:rPr>
        <w:t xml:space="preserve">., </w:t>
      </w:r>
      <w:r w:rsidRPr="007E51E0">
        <w:rPr>
          <w:b/>
          <w:bCs/>
          <w:lang w:val="en-IE"/>
        </w:rPr>
        <w:t>36</w:t>
      </w:r>
      <w:r w:rsidRPr="007E51E0">
        <w:rPr>
          <w:lang w:val="en-IE"/>
        </w:rPr>
        <w:t>, 1251–1275.</w:t>
      </w:r>
    </w:p>
    <w:p w14:paraId="293044B3" w14:textId="6A714582" w:rsidR="006D3D1D" w:rsidRPr="007E51E0" w:rsidRDefault="006D3D1D" w:rsidP="00945E84">
      <w:pPr>
        <w:pStyle w:val="Ref"/>
        <w:tabs>
          <w:tab w:val="clear" w:pos="-720"/>
          <w:tab w:val="left" w:pos="1384"/>
        </w:tabs>
        <w:rPr>
          <w:lang w:val="en-IE"/>
        </w:rPr>
      </w:pPr>
      <w:r w:rsidRPr="007E51E0">
        <w:rPr>
          <w:smallCaps/>
          <w:lang w:val="en-IE"/>
        </w:rPr>
        <w:t>Zong Z., Wang X., Deng Y.</w:t>
      </w:r>
      <w:r w:rsidR="009800B4" w:rsidRPr="007E51E0">
        <w:rPr>
          <w:smallCaps/>
          <w:lang w:val="en-IE"/>
        </w:rPr>
        <w:t xml:space="preserve"> &amp;</w:t>
      </w:r>
      <w:r w:rsidRPr="007E51E0">
        <w:rPr>
          <w:smallCaps/>
          <w:lang w:val="en-IE"/>
        </w:rPr>
        <w:t xml:space="preserve"> Zhou T.</w:t>
      </w:r>
      <w:r w:rsidRPr="007E51E0">
        <w:rPr>
          <w:lang w:val="en-IE"/>
        </w:rPr>
        <w:t xml:space="preserve"> (2012). Misidentification of </w:t>
      </w:r>
      <w:proofErr w:type="spellStart"/>
      <w:r w:rsidRPr="007E51E0">
        <w:rPr>
          <w:i/>
          <w:lang w:val="en-IE"/>
        </w:rPr>
        <w:t>Burkholderia</w:t>
      </w:r>
      <w:proofErr w:type="spellEnd"/>
      <w:r w:rsidRPr="007E51E0">
        <w:rPr>
          <w:i/>
          <w:lang w:val="en-IE"/>
        </w:rPr>
        <w:t xml:space="preserve"> </w:t>
      </w:r>
      <w:proofErr w:type="spellStart"/>
      <w:r w:rsidRPr="007E51E0">
        <w:rPr>
          <w:i/>
          <w:lang w:val="en-IE"/>
        </w:rPr>
        <w:t>pseudomallei</w:t>
      </w:r>
      <w:proofErr w:type="spellEnd"/>
      <w:r w:rsidRPr="007E51E0">
        <w:rPr>
          <w:lang w:val="en-IE"/>
        </w:rPr>
        <w:t xml:space="preserve"> as </w:t>
      </w:r>
      <w:proofErr w:type="spellStart"/>
      <w:r w:rsidRPr="007E51E0">
        <w:rPr>
          <w:i/>
          <w:lang w:val="en-IE"/>
        </w:rPr>
        <w:t>Burkholderia</w:t>
      </w:r>
      <w:proofErr w:type="spellEnd"/>
      <w:r w:rsidRPr="007E51E0">
        <w:rPr>
          <w:i/>
          <w:lang w:val="en-IE"/>
        </w:rPr>
        <w:t xml:space="preserve"> </w:t>
      </w:r>
      <w:proofErr w:type="spellStart"/>
      <w:r w:rsidRPr="007E51E0">
        <w:rPr>
          <w:lang w:val="en-IE"/>
        </w:rPr>
        <w:t>cepacia</w:t>
      </w:r>
      <w:proofErr w:type="spellEnd"/>
      <w:r w:rsidRPr="007E51E0">
        <w:rPr>
          <w:lang w:val="en-IE"/>
        </w:rPr>
        <w:t xml:space="preserve"> by the VITEK 2 system. </w:t>
      </w:r>
      <w:r w:rsidRPr="007E51E0">
        <w:rPr>
          <w:i/>
          <w:lang w:val="en-IE"/>
        </w:rPr>
        <w:t>J</w:t>
      </w:r>
      <w:r w:rsidR="009800B4" w:rsidRPr="007E51E0">
        <w:rPr>
          <w:i/>
          <w:lang w:val="en-IE"/>
        </w:rPr>
        <w:t>.</w:t>
      </w:r>
      <w:r w:rsidRPr="007E51E0">
        <w:rPr>
          <w:i/>
          <w:lang w:val="en-IE"/>
        </w:rPr>
        <w:t xml:space="preserve"> Med</w:t>
      </w:r>
      <w:r w:rsidR="009800B4" w:rsidRPr="007E51E0">
        <w:rPr>
          <w:i/>
          <w:lang w:val="en-IE"/>
        </w:rPr>
        <w:t>.</w:t>
      </w:r>
      <w:r w:rsidRPr="007E51E0">
        <w:rPr>
          <w:i/>
          <w:lang w:val="en-IE"/>
        </w:rPr>
        <w:t xml:space="preserve"> </w:t>
      </w:r>
      <w:proofErr w:type="spellStart"/>
      <w:r w:rsidRPr="007E51E0">
        <w:rPr>
          <w:i/>
          <w:lang w:val="en-IE"/>
        </w:rPr>
        <w:t>Microbiol</w:t>
      </w:r>
      <w:proofErr w:type="spellEnd"/>
      <w:r w:rsidRPr="007E51E0">
        <w:rPr>
          <w:lang w:val="en-IE"/>
        </w:rPr>
        <w:t>.</w:t>
      </w:r>
      <w:r w:rsidR="009800B4" w:rsidRPr="007E51E0">
        <w:rPr>
          <w:lang w:val="en-IE"/>
        </w:rPr>
        <w:t>,</w:t>
      </w:r>
      <w:r w:rsidRPr="007E51E0">
        <w:rPr>
          <w:lang w:val="en-IE"/>
        </w:rPr>
        <w:t xml:space="preserve"> </w:t>
      </w:r>
      <w:r w:rsidRPr="007E51E0">
        <w:rPr>
          <w:b/>
          <w:lang w:val="en-IE"/>
        </w:rPr>
        <w:t>61</w:t>
      </w:r>
      <w:r w:rsidR="009800B4" w:rsidRPr="007E51E0">
        <w:rPr>
          <w:lang w:val="en-IE"/>
        </w:rPr>
        <w:t xml:space="preserve">, </w:t>
      </w:r>
      <w:r w:rsidRPr="007E51E0">
        <w:rPr>
          <w:lang w:val="en-IE"/>
        </w:rPr>
        <w:t>1483</w:t>
      </w:r>
      <w:r w:rsidR="009800B4" w:rsidRPr="007E51E0">
        <w:rPr>
          <w:lang w:val="en-IE"/>
        </w:rPr>
        <w:t>–148</w:t>
      </w:r>
      <w:r w:rsidRPr="007E51E0">
        <w:rPr>
          <w:lang w:val="en-IE"/>
        </w:rPr>
        <w:t>4.</w:t>
      </w:r>
    </w:p>
    <w:p w14:paraId="35248637" w14:textId="77777777" w:rsidR="007E56A8" w:rsidRPr="007E51E0" w:rsidRDefault="007E56A8" w:rsidP="0002592E">
      <w:pPr>
        <w:pStyle w:val="rtoiles"/>
        <w:rPr>
          <w:lang w:val="en-IE"/>
        </w:rPr>
      </w:pPr>
      <w:r w:rsidRPr="007E51E0">
        <w:rPr>
          <w:lang w:val="en-IE"/>
        </w:rPr>
        <w:t>*</w:t>
      </w:r>
      <w:r w:rsidRPr="007E51E0">
        <w:rPr>
          <w:lang w:val="en-IE"/>
        </w:rPr>
        <w:br/>
        <w:t>*   *</w:t>
      </w:r>
    </w:p>
    <w:p w14:paraId="553DC66B" w14:textId="4501B48A" w:rsidR="007E56A8" w:rsidRPr="007E51E0" w:rsidRDefault="007E56A8" w:rsidP="00FD3258">
      <w:pPr>
        <w:pStyle w:val="Reflabnote"/>
        <w:spacing w:after="240"/>
        <w:rPr>
          <w:lang w:val="en-IE"/>
        </w:rPr>
      </w:pPr>
      <w:r w:rsidRPr="007E51E0">
        <w:rPr>
          <w:b/>
          <w:bCs/>
          <w:lang w:val="en-IE"/>
        </w:rPr>
        <w:t>NB:</w:t>
      </w:r>
      <w:r w:rsidRPr="007E51E0">
        <w:rPr>
          <w:lang w:val="en-IE"/>
        </w:rPr>
        <w:t xml:space="preserve"> There are OIE Reference Laboratories for Glanders</w:t>
      </w:r>
      <w:r w:rsidRPr="007E51E0">
        <w:rPr>
          <w:lang w:val="en-IE"/>
        </w:rPr>
        <w:br/>
        <w:t xml:space="preserve">(see Table in Part 4 of this </w:t>
      </w:r>
      <w:r w:rsidRPr="007E51E0">
        <w:rPr>
          <w:i/>
          <w:lang w:val="en-IE"/>
        </w:rPr>
        <w:t xml:space="preserve">Terrestrial Manual </w:t>
      </w:r>
      <w:r w:rsidRPr="007E51E0">
        <w:rPr>
          <w:lang w:val="en-IE"/>
        </w:rPr>
        <w:t xml:space="preserve">or consult the OIE web site for the most up-to-date list: </w:t>
      </w:r>
      <w:r w:rsidR="00832C31" w:rsidRPr="00832C31">
        <w:rPr>
          <w:color w:val="0000FF"/>
          <w:u w:val="single"/>
        </w:rPr>
        <w:t>http://www.oie.int/en/scientific-expertise/reference-laboratories/list-of-laboratories/</w:t>
      </w:r>
      <w:hyperlink r:id="rId13" w:history="1"/>
      <w:r w:rsidRPr="007E51E0">
        <w:rPr>
          <w:lang w:val="en-IE"/>
        </w:rPr>
        <w:t xml:space="preserve">). </w:t>
      </w:r>
      <w:r w:rsidRPr="007E51E0">
        <w:rPr>
          <w:lang w:val="en-IE"/>
        </w:rPr>
        <w:br/>
      </w:r>
      <w:r w:rsidRPr="007E51E0">
        <w:rPr>
          <w:lang w:val="en-IE"/>
        </w:rPr>
        <w:lastRenderedPageBreak/>
        <w:t xml:space="preserve">Please contact the OIE Reference Laboratories for any further information on </w:t>
      </w:r>
      <w:r w:rsidRPr="007E51E0">
        <w:rPr>
          <w:lang w:val="en-IE"/>
        </w:rPr>
        <w:br/>
        <w:t>diagnostic tests, reagents and diagnostic biologicals for glanders</w:t>
      </w:r>
    </w:p>
    <w:p w14:paraId="7866449C" w14:textId="3D5D7CA7" w:rsidR="007E7296" w:rsidRDefault="007E7296" w:rsidP="00475AA7">
      <w:pPr>
        <w:spacing w:after="240" w:line="240" w:lineRule="auto"/>
        <w:jc w:val="center"/>
        <w:rPr>
          <w:rFonts w:ascii="Arial" w:hAnsi="Arial" w:cs="Arial"/>
          <w:smallCaps/>
          <w:sz w:val="18"/>
          <w:szCs w:val="18"/>
          <w:lang w:val="en-IE"/>
        </w:rPr>
      </w:pPr>
      <w:r w:rsidRPr="007E51E0">
        <w:rPr>
          <w:rFonts w:ascii="Arial" w:hAnsi="Arial" w:cs="Arial"/>
          <w:b/>
          <w:smallCaps/>
          <w:sz w:val="18"/>
          <w:szCs w:val="18"/>
          <w:lang w:val="en-IE"/>
        </w:rPr>
        <w:t>NB:</w:t>
      </w:r>
      <w:r w:rsidRPr="007E51E0">
        <w:rPr>
          <w:rFonts w:ascii="Arial" w:hAnsi="Arial" w:cs="Arial"/>
          <w:smallCaps/>
          <w:sz w:val="18"/>
          <w:szCs w:val="18"/>
          <w:lang w:val="en-IE"/>
        </w:rPr>
        <w:t xml:space="preserve"> First adopted in 1991; Most recent updates adopted in 201</w:t>
      </w:r>
      <w:r w:rsidR="00475AA7">
        <w:rPr>
          <w:rFonts w:ascii="Arial" w:hAnsi="Arial" w:cs="Arial"/>
          <w:smallCaps/>
          <w:sz w:val="18"/>
          <w:szCs w:val="18"/>
          <w:lang w:val="en-IE"/>
        </w:rPr>
        <w:t>8.</w:t>
      </w:r>
    </w:p>
    <w:p w14:paraId="4BFDB647" w14:textId="77777777" w:rsidR="00166685" w:rsidRPr="00075E7C" w:rsidRDefault="00166685" w:rsidP="00075E7C">
      <w:pPr>
        <w:pStyle w:val="Ref"/>
      </w:pPr>
    </w:p>
    <w:sectPr w:rsidR="00166685" w:rsidRPr="00075E7C" w:rsidSect="000538CC">
      <w:footerReference w:type="first" r:id="rId14"/>
      <w:type w:val="oddPage"/>
      <w:pgSz w:w="11907" w:h="16840" w:code="9"/>
      <w:pgMar w:top="-1418" w:right="1418" w:bottom="1418" w:left="1418" w:header="567" w:footer="567" w:gutter="0"/>
      <w:paperSrc w:first="7" w:other="7"/>
      <w:lnNumType w:countBy="1" w:restart="continuous"/>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3BB9C" w14:textId="77777777" w:rsidR="00CE4FED" w:rsidRDefault="00CE4FED">
      <w:r>
        <w:separator/>
      </w:r>
    </w:p>
  </w:endnote>
  <w:endnote w:type="continuationSeparator" w:id="0">
    <w:p w14:paraId="1CB53823" w14:textId="77777777" w:rsidR="00CE4FED" w:rsidRDefault="00CE4FED">
      <w:r>
        <w:continuationSeparator/>
      </w:r>
    </w:p>
  </w:endnote>
  <w:endnote w:type="continuationNotice" w:id="1">
    <w:p w14:paraId="3676B35D" w14:textId="77777777" w:rsidR="00CE4FED" w:rsidRDefault="00CE4FE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Ottawa">
    <w:altName w:val="Calibri"/>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dvTimes-i">
    <w:altName w:val="Calibri"/>
    <w:panose1 w:val="00000000000000000000"/>
    <w:charset w:val="00"/>
    <w:family w:val="auto"/>
    <w:notTrueType/>
    <w:pitch w:val="default"/>
    <w:sig w:usb0="00000003" w:usb1="00000000" w:usb2="00000000" w:usb3="00000000" w:csb0="00000001" w:csb1="00000000"/>
  </w:font>
  <w:font w:name="AdvTimes">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6D455" w14:textId="3FCC1BB0" w:rsidR="00A74BA8" w:rsidRPr="00475AA7" w:rsidRDefault="00A74BA8" w:rsidP="00475AA7">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sidR="00884AF0">
      <w:rPr>
        <w:rFonts w:ascii="Ottawa" w:hAnsi="Ottawa"/>
        <w:noProof/>
        <w:sz w:val="22"/>
      </w:rPr>
      <w:t>6</w:t>
    </w:r>
    <w:r>
      <w:rPr>
        <w:rFonts w:ascii="Ottawa" w:hAnsi="Ottawa"/>
        <w:sz w:val="22"/>
      </w:rPr>
      <w:fldChar w:fldCharType="end"/>
    </w:r>
    <w:r>
      <w:rPr>
        <w:rFonts w:ascii="Ottawa" w:hAnsi="Ottawa"/>
        <w:sz w:val="18"/>
      </w:rPr>
      <w:tab/>
    </w:r>
    <w:r>
      <w:rPr>
        <w:rFonts w:ascii="Ottawa" w:hAnsi="Ottawa"/>
        <w:sz w:val="22"/>
      </w:rPr>
      <w:t xml:space="preserve">OIE </w:t>
    </w:r>
    <w:r w:rsidRPr="0075008C">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w:t>
    </w:r>
    <w:r w:rsidR="00933299">
      <w:rPr>
        <w:rFonts w:ascii="Ottawa" w:hAnsi="Ottawa"/>
        <w:sz w:val="22"/>
      </w:rPr>
      <w:t>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D4F29" w14:textId="09E71981" w:rsidR="00A74BA8" w:rsidRPr="00475AA7" w:rsidRDefault="00A74BA8" w:rsidP="00475AA7">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sidRPr="0075008C">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w:t>
    </w:r>
    <w:r w:rsidR="00933299">
      <w:rPr>
        <w:rFonts w:ascii="Ottawa" w:hAnsi="Ottawa"/>
        <w:sz w:val="22"/>
      </w:rPr>
      <w:t>22</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sidR="00884AF0">
      <w:rPr>
        <w:rFonts w:ascii="Ottawa" w:hAnsi="Ottawa"/>
        <w:noProof/>
        <w:sz w:val="22"/>
      </w:rPr>
      <w:t>5</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E8D40" w14:textId="48401C40" w:rsidR="000538CC" w:rsidRPr="000538CC" w:rsidRDefault="000538CC" w:rsidP="000538CC">
    <w:pPr>
      <w:pBdr>
        <w:top w:val="single" w:sz="6" w:space="5" w:color="auto"/>
      </w:pBdr>
      <w:tabs>
        <w:tab w:val="clear" w:pos="-720"/>
        <w:tab w:val="right" w:pos="9072"/>
      </w:tabs>
      <w:spacing w:line="240" w:lineRule="exact"/>
      <w:jc w:val="left"/>
    </w:pPr>
    <w:r>
      <w:rPr>
        <w:rFonts w:ascii="Ottawa" w:hAnsi="Ottawa"/>
        <w:sz w:val="22"/>
      </w:rPr>
      <w:t xml:space="preserve">OIE </w:t>
    </w:r>
    <w:r w:rsidRPr="0075008C">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2022</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sz w:val="22"/>
      </w:rPr>
      <w:t>1</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7C8AB" w14:textId="77777777" w:rsidR="00CE4FED" w:rsidRDefault="00CE4FED">
      <w:r>
        <w:separator/>
      </w:r>
    </w:p>
  </w:footnote>
  <w:footnote w:type="continuationSeparator" w:id="0">
    <w:p w14:paraId="6B72C617" w14:textId="77777777" w:rsidR="00CE4FED" w:rsidRDefault="00CE4FED">
      <w:r>
        <w:continuationSeparator/>
      </w:r>
    </w:p>
  </w:footnote>
  <w:footnote w:type="continuationNotice" w:id="1">
    <w:p w14:paraId="31F49AE9" w14:textId="77777777" w:rsidR="00CE4FED" w:rsidRDefault="00CE4FED">
      <w:pPr>
        <w:spacing w:line="240" w:lineRule="auto"/>
      </w:pPr>
    </w:p>
  </w:footnote>
  <w:footnote w:id="2">
    <w:p w14:paraId="12400A5E" w14:textId="77777777" w:rsidR="00A74BA8" w:rsidRPr="005A22F5" w:rsidRDefault="00A74BA8" w:rsidP="009A1E68">
      <w:pPr>
        <w:pStyle w:val="Notedebasdepage"/>
        <w:spacing w:line="240" w:lineRule="auto"/>
        <w:ind w:left="425" w:hanging="425"/>
        <w:rPr>
          <w:rFonts w:ascii="Arial" w:hAnsi="Arial" w:cs="Arial"/>
          <w:sz w:val="16"/>
          <w:szCs w:val="16"/>
        </w:rPr>
      </w:pPr>
      <w:r w:rsidRPr="005A22F5">
        <w:rPr>
          <w:rStyle w:val="Appelnotedebasdep"/>
          <w:rFonts w:ascii="Arial" w:hAnsi="Arial" w:cs="Arial"/>
          <w:sz w:val="16"/>
          <w:szCs w:val="16"/>
          <w:vertAlign w:val="baseline"/>
        </w:rPr>
        <w:footnoteRef/>
      </w:r>
      <w:r w:rsidRPr="005A22F5">
        <w:rPr>
          <w:rFonts w:ascii="Arial" w:hAnsi="Arial" w:cs="Arial"/>
          <w:sz w:val="16"/>
          <w:szCs w:val="16"/>
        </w:rPr>
        <w:t xml:space="preserve"> </w:t>
      </w:r>
      <w:r w:rsidRPr="005A22F5">
        <w:rPr>
          <w:rFonts w:ascii="Arial" w:hAnsi="Arial" w:cs="Arial"/>
          <w:sz w:val="16"/>
          <w:szCs w:val="16"/>
        </w:rPr>
        <w:tab/>
      </w:r>
      <w:r w:rsidRPr="005A22F5">
        <w:rPr>
          <w:rFonts w:ascii="Arial" w:hAnsi="Arial" w:cs="Arial"/>
          <w:sz w:val="16"/>
          <w:szCs w:val="16"/>
          <w:lang w:eastAsia="en-US"/>
        </w:rPr>
        <w:t>Horse samples only – care needed with interpretation of test on donkey samples.</w:t>
      </w:r>
    </w:p>
  </w:footnote>
  <w:footnote w:id="3">
    <w:p w14:paraId="47AF853F" w14:textId="04CA736F" w:rsidR="00695098" w:rsidRPr="00695098" w:rsidRDefault="00695098" w:rsidP="00695098">
      <w:pPr>
        <w:pStyle w:val="Notedebasdepage"/>
        <w:ind w:left="426" w:hanging="426"/>
        <w:rPr>
          <w:rFonts w:ascii="Arial" w:hAnsi="Arial" w:cs="Arial"/>
          <w:sz w:val="16"/>
          <w:szCs w:val="16"/>
        </w:rPr>
      </w:pPr>
      <w:r w:rsidRPr="00695098">
        <w:rPr>
          <w:rStyle w:val="Appelnotedebasdep"/>
          <w:rFonts w:ascii="Arial" w:hAnsi="Arial" w:cs="Arial"/>
          <w:sz w:val="16"/>
          <w:szCs w:val="16"/>
          <w:vertAlign w:val="baseline"/>
        </w:rPr>
        <w:footnoteRef/>
      </w:r>
      <w:r w:rsidRPr="00695098">
        <w:rPr>
          <w:rFonts w:ascii="Arial" w:hAnsi="Arial" w:cs="Arial"/>
          <w:sz w:val="16"/>
          <w:szCs w:val="16"/>
        </w:rPr>
        <w:t xml:space="preserve"> </w:t>
      </w:r>
      <w:r w:rsidRPr="00695098">
        <w:rPr>
          <w:rFonts w:ascii="Arial" w:hAnsi="Arial" w:cs="Arial"/>
          <w:sz w:val="16"/>
          <w:szCs w:val="16"/>
        </w:rPr>
        <w:tab/>
        <w:t xml:space="preserve">List available on the OIE website at: </w:t>
      </w:r>
      <w:hyperlink r:id="rId1" w:anchor="ui-id-3" w:history="1">
        <w:r w:rsidRPr="00F70451">
          <w:rPr>
            <w:rStyle w:val="Lienhypertexte"/>
            <w:rFonts w:ascii="Arial" w:hAnsi="Arial" w:cs="Arial"/>
            <w:color w:val="0000FF"/>
            <w:sz w:val="16"/>
            <w:szCs w:val="16"/>
          </w:rPr>
          <w:t>https://www.oie.int/en/what-we-offer/expertise-network/reference-laboratories/#ui-id-3</w:t>
        </w:r>
      </w:hyperlink>
      <w:r w:rsidRPr="00695098">
        <w:rPr>
          <w:rFonts w:ascii="Arial" w:hAnsi="Arial" w:cs="Arial"/>
          <w:sz w:val="16"/>
          <w:szCs w:val="16"/>
        </w:rPr>
        <w:t xml:space="preserve"> </w:t>
      </w:r>
    </w:p>
  </w:footnote>
  <w:footnote w:id="4">
    <w:p w14:paraId="45567F89" w14:textId="77777777" w:rsidR="00A74BA8" w:rsidRPr="00C7153A" w:rsidRDefault="00A74BA8" w:rsidP="0017110D">
      <w:pPr>
        <w:pStyle w:val="Notedebasdepage"/>
        <w:spacing w:line="240" w:lineRule="auto"/>
        <w:ind w:left="425" w:hanging="425"/>
        <w:rPr>
          <w:rFonts w:ascii="Arial" w:hAnsi="Arial" w:cs="Arial"/>
          <w:sz w:val="16"/>
          <w:szCs w:val="16"/>
        </w:rPr>
      </w:pPr>
      <w:r w:rsidRPr="00C7153A">
        <w:rPr>
          <w:rStyle w:val="Appelnotedebasdep"/>
          <w:rFonts w:ascii="Arial" w:hAnsi="Arial" w:cs="Arial"/>
          <w:sz w:val="16"/>
          <w:szCs w:val="16"/>
          <w:vertAlign w:val="baseline"/>
        </w:rPr>
        <w:footnoteRef/>
      </w:r>
      <w:r w:rsidRPr="00C7153A">
        <w:rPr>
          <w:rFonts w:ascii="Arial" w:hAnsi="Arial" w:cs="Arial"/>
          <w:sz w:val="16"/>
          <w:szCs w:val="16"/>
        </w:rPr>
        <w:t xml:space="preserve"> </w:t>
      </w:r>
      <w:r w:rsidRPr="00C7153A">
        <w:rPr>
          <w:rFonts w:ascii="Arial" w:hAnsi="Arial" w:cs="Arial"/>
          <w:sz w:val="16"/>
          <w:szCs w:val="16"/>
        </w:rPr>
        <w:tab/>
        <w:t xml:space="preserve">Central Veterinary Control and Research Institute, 06020 </w:t>
      </w:r>
      <w:proofErr w:type="spellStart"/>
      <w:r w:rsidRPr="00C7153A">
        <w:rPr>
          <w:rFonts w:ascii="Arial" w:hAnsi="Arial" w:cs="Arial"/>
          <w:sz w:val="16"/>
          <w:szCs w:val="16"/>
        </w:rPr>
        <w:t>Etlik</w:t>
      </w:r>
      <w:proofErr w:type="spellEnd"/>
      <w:r w:rsidRPr="00C7153A">
        <w:rPr>
          <w:rFonts w:ascii="Arial" w:hAnsi="Arial" w:cs="Arial"/>
          <w:sz w:val="16"/>
          <w:szCs w:val="16"/>
        </w:rPr>
        <w:t xml:space="preserve">, Ankara, Turkey; Pasteur Institute, Bucharest, Romania, Calea </w:t>
      </w:r>
      <w:proofErr w:type="spellStart"/>
      <w:r w:rsidRPr="00C7153A">
        <w:rPr>
          <w:rFonts w:ascii="Arial" w:hAnsi="Arial" w:cs="Arial"/>
          <w:sz w:val="16"/>
          <w:szCs w:val="16"/>
        </w:rPr>
        <w:t>Giulesti</w:t>
      </w:r>
      <w:proofErr w:type="spellEnd"/>
      <w:r w:rsidRPr="00C7153A">
        <w:rPr>
          <w:rFonts w:ascii="Arial" w:hAnsi="Arial" w:cs="Arial"/>
          <w:sz w:val="16"/>
          <w:szCs w:val="16"/>
        </w:rPr>
        <w:t xml:space="preserve"> 333, Cod:060269, Sector 6 </w:t>
      </w:r>
      <w:hyperlink r:id="rId2" w:history="1">
        <w:r w:rsidRPr="00C7153A">
          <w:rPr>
            <w:rStyle w:val="Lienhypertexte"/>
            <w:rFonts w:ascii="Arial" w:hAnsi="Arial" w:cs="Arial"/>
            <w:i/>
            <w:iCs/>
            <w:color w:val="auto"/>
            <w:sz w:val="16"/>
            <w:szCs w:val="16"/>
            <w:u w:val="none"/>
          </w:rPr>
          <w:t>aprovizionare@pasteur.ro</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B263" w14:textId="79AF4850" w:rsidR="00A74BA8" w:rsidRPr="00475AA7" w:rsidRDefault="00A74BA8" w:rsidP="00475AA7">
    <w:pPr>
      <w:pBdr>
        <w:bottom w:val="single" w:sz="6" w:space="1" w:color="auto"/>
      </w:pBdr>
      <w:spacing w:line="240" w:lineRule="auto"/>
      <w:ind w:right="-1"/>
      <w:jc w:val="center"/>
      <w:rPr>
        <w:rFonts w:ascii="Ottawa" w:hAnsi="Ottawa"/>
        <w:i/>
        <w:iCs/>
      </w:rPr>
    </w:pPr>
    <w:r w:rsidRPr="00C63272">
      <w:rPr>
        <w:rFonts w:ascii="Ottawa" w:hAnsi="Ottawa"/>
        <w:i/>
        <w:iCs/>
      </w:rPr>
      <w:t xml:space="preserve">Chapter </w:t>
    </w:r>
    <w:r>
      <w:rPr>
        <w:rFonts w:ascii="Ottawa" w:hAnsi="Ottawa"/>
        <w:i/>
        <w:iCs/>
      </w:rPr>
      <w:t>3</w:t>
    </w:r>
    <w:r w:rsidRPr="00C63272">
      <w:rPr>
        <w:rFonts w:ascii="Ottawa" w:hAnsi="Ottawa"/>
        <w:i/>
        <w:iCs/>
      </w:rPr>
      <w:t>.</w:t>
    </w:r>
    <w:r w:rsidR="008016BD">
      <w:rPr>
        <w:rFonts w:ascii="Ottawa" w:hAnsi="Ottawa"/>
        <w:i/>
        <w:iCs/>
      </w:rPr>
      <w:t>6</w:t>
    </w:r>
    <w:r w:rsidRPr="00C63272">
      <w:rPr>
        <w:rFonts w:ascii="Ottawa" w:hAnsi="Ottawa"/>
        <w:i/>
        <w:iCs/>
      </w:rPr>
      <w:t>.</w:t>
    </w:r>
    <w:r>
      <w:rPr>
        <w:rFonts w:ascii="Ottawa" w:hAnsi="Ottawa"/>
        <w:i/>
        <w:iCs/>
      </w:rPr>
      <w:t>11</w:t>
    </w:r>
    <w:r w:rsidRPr="00C63272">
      <w:rPr>
        <w:rFonts w:ascii="Ottawa" w:hAnsi="Ottawa"/>
        <w:i/>
        <w:iCs/>
      </w:rPr>
      <w:t>. – Glanders</w:t>
    </w:r>
    <w:r>
      <w:rPr>
        <w:rFonts w:ascii="Ottawa" w:hAnsi="Ottawa"/>
        <w:i/>
        <w:iCs/>
      </w:rPr>
      <w:t xml:space="preserve"> </w:t>
    </w:r>
    <w:r w:rsidRPr="007E51E0">
      <w:rPr>
        <w:rFonts w:ascii="Ottawa" w:hAnsi="Ottawa"/>
        <w:i/>
        <w:lang w:val="en-IE"/>
      </w:rPr>
      <w:t>and Melioidosis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84098" w14:textId="1799FEDB" w:rsidR="00A74BA8" w:rsidRPr="00475AA7" w:rsidRDefault="00A74BA8" w:rsidP="00475AA7">
    <w:pPr>
      <w:pBdr>
        <w:bottom w:val="single" w:sz="6" w:space="1" w:color="auto"/>
      </w:pBdr>
      <w:spacing w:line="240" w:lineRule="auto"/>
      <w:ind w:right="-1"/>
      <w:jc w:val="center"/>
      <w:rPr>
        <w:rFonts w:ascii="Ottawa" w:hAnsi="Ottawa"/>
        <w:i/>
        <w:iCs/>
      </w:rPr>
    </w:pPr>
    <w:r w:rsidRPr="00C63272">
      <w:rPr>
        <w:rFonts w:ascii="Ottawa" w:hAnsi="Ottawa"/>
        <w:i/>
        <w:iCs/>
      </w:rPr>
      <w:t xml:space="preserve">Chapter </w:t>
    </w:r>
    <w:r>
      <w:rPr>
        <w:rFonts w:ascii="Ottawa" w:hAnsi="Ottawa"/>
        <w:i/>
        <w:iCs/>
      </w:rPr>
      <w:t>3</w:t>
    </w:r>
    <w:r w:rsidRPr="00C63272">
      <w:rPr>
        <w:rFonts w:ascii="Ottawa" w:hAnsi="Ottawa"/>
        <w:i/>
        <w:iCs/>
      </w:rPr>
      <w:t>.</w:t>
    </w:r>
    <w:r w:rsidR="008016BD">
      <w:rPr>
        <w:rFonts w:ascii="Ottawa" w:hAnsi="Ottawa"/>
        <w:i/>
        <w:iCs/>
      </w:rPr>
      <w:t>6</w:t>
    </w:r>
    <w:r w:rsidRPr="00C63272">
      <w:rPr>
        <w:rFonts w:ascii="Ottawa" w:hAnsi="Ottawa"/>
        <w:i/>
        <w:iCs/>
      </w:rPr>
      <w:t>.</w:t>
    </w:r>
    <w:r>
      <w:rPr>
        <w:rFonts w:ascii="Ottawa" w:hAnsi="Ottawa"/>
        <w:i/>
        <w:iCs/>
      </w:rPr>
      <w:t>11</w:t>
    </w:r>
    <w:r w:rsidRPr="00C63272">
      <w:rPr>
        <w:rFonts w:ascii="Ottawa" w:hAnsi="Ottawa"/>
        <w:i/>
        <w:iCs/>
      </w:rPr>
      <w:t>. – Glanders</w:t>
    </w:r>
    <w:r>
      <w:rPr>
        <w:rFonts w:ascii="Ottawa" w:hAnsi="Ottawa"/>
        <w:i/>
        <w:iCs/>
      </w:rPr>
      <w:t xml:space="preserve"> </w:t>
    </w:r>
    <w:r w:rsidRPr="007E51E0">
      <w:rPr>
        <w:rFonts w:ascii="Ottawa" w:hAnsi="Ottawa"/>
        <w:i/>
        <w:lang w:val="en-IE"/>
      </w:rPr>
      <w:t>and Melioidosis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3027C"/>
    <w:multiLevelType w:val="hybridMultilevel"/>
    <w:tmpl w:val="A18AAFBA"/>
    <w:lvl w:ilvl="0" w:tplc="9F4E0F34">
      <w:start w:val="40"/>
      <w:numFmt w:val="decimal"/>
      <w:lvlText w:val="%1."/>
      <w:lvlJc w:val="left"/>
      <w:pPr>
        <w:tabs>
          <w:tab w:val="num" w:pos="2166"/>
        </w:tabs>
        <w:ind w:left="2166" w:hanging="780"/>
      </w:pPr>
      <w:rPr>
        <w:rFonts w:cs="Times New Roman" w:hint="default"/>
      </w:rPr>
    </w:lvl>
    <w:lvl w:ilvl="1" w:tplc="04070019" w:tentative="1">
      <w:start w:val="1"/>
      <w:numFmt w:val="lowerLetter"/>
      <w:lvlText w:val="%2."/>
      <w:lvlJc w:val="left"/>
      <w:pPr>
        <w:tabs>
          <w:tab w:val="num" w:pos="2466"/>
        </w:tabs>
        <w:ind w:left="2466" w:hanging="360"/>
      </w:pPr>
      <w:rPr>
        <w:rFonts w:cs="Times New Roman"/>
      </w:rPr>
    </w:lvl>
    <w:lvl w:ilvl="2" w:tplc="0407001B" w:tentative="1">
      <w:start w:val="1"/>
      <w:numFmt w:val="lowerRoman"/>
      <w:lvlText w:val="%3."/>
      <w:lvlJc w:val="right"/>
      <w:pPr>
        <w:tabs>
          <w:tab w:val="num" w:pos="3186"/>
        </w:tabs>
        <w:ind w:left="3186" w:hanging="180"/>
      </w:pPr>
      <w:rPr>
        <w:rFonts w:cs="Times New Roman"/>
      </w:rPr>
    </w:lvl>
    <w:lvl w:ilvl="3" w:tplc="0407000F" w:tentative="1">
      <w:start w:val="1"/>
      <w:numFmt w:val="decimal"/>
      <w:lvlText w:val="%4."/>
      <w:lvlJc w:val="left"/>
      <w:pPr>
        <w:tabs>
          <w:tab w:val="num" w:pos="3906"/>
        </w:tabs>
        <w:ind w:left="3906" w:hanging="360"/>
      </w:pPr>
      <w:rPr>
        <w:rFonts w:cs="Times New Roman"/>
      </w:rPr>
    </w:lvl>
    <w:lvl w:ilvl="4" w:tplc="04070019" w:tentative="1">
      <w:start w:val="1"/>
      <w:numFmt w:val="lowerLetter"/>
      <w:lvlText w:val="%5."/>
      <w:lvlJc w:val="left"/>
      <w:pPr>
        <w:tabs>
          <w:tab w:val="num" w:pos="4626"/>
        </w:tabs>
        <w:ind w:left="4626" w:hanging="360"/>
      </w:pPr>
      <w:rPr>
        <w:rFonts w:cs="Times New Roman"/>
      </w:rPr>
    </w:lvl>
    <w:lvl w:ilvl="5" w:tplc="0407001B" w:tentative="1">
      <w:start w:val="1"/>
      <w:numFmt w:val="lowerRoman"/>
      <w:lvlText w:val="%6."/>
      <w:lvlJc w:val="right"/>
      <w:pPr>
        <w:tabs>
          <w:tab w:val="num" w:pos="5346"/>
        </w:tabs>
        <w:ind w:left="5346" w:hanging="180"/>
      </w:pPr>
      <w:rPr>
        <w:rFonts w:cs="Times New Roman"/>
      </w:rPr>
    </w:lvl>
    <w:lvl w:ilvl="6" w:tplc="0407000F" w:tentative="1">
      <w:start w:val="1"/>
      <w:numFmt w:val="decimal"/>
      <w:lvlText w:val="%7."/>
      <w:lvlJc w:val="left"/>
      <w:pPr>
        <w:tabs>
          <w:tab w:val="num" w:pos="6066"/>
        </w:tabs>
        <w:ind w:left="6066" w:hanging="360"/>
      </w:pPr>
      <w:rPr>
        <w:rFonts w:cs="Times New Roman"/>
      </w:rPr>
    </w:lvl>
    <w:lvl w:ilvl="7" w:tplc="04070019" w:tentative="1">
      <w:start w:val="1"/>
      <w:numFmt w:val="lowerLetter"/>
      <w:lvlText w:val="%8."/>
      <w:lvlJc w:val="left"/>
      <w:pPr>
        <w:tabs>
          <w:tab w:val="num" w:pos="6786"/>
        </w:tabs>
        <w:ind w:left="6786" w:hanging="360"/>
      </w:pPr>
      <w:rPr>
        <w:rFonts w:cs="Times New Roman"/>
      </w:rPr>
    </w:lvl>
    <w:lvl w:ilvl="8" w:tplc="0407001B" w:tentative="1">
      <w:start w:val="1"/>
      <w:numFmt w:val="lowerRoman"/>
      <w:lvlText w:val="%9."/>
      <w:lvlJc w:val="right"/>
      <w:pPr>
        <w:tabs>
          <w:tab w:val="num" w:pos="7506"/>
        </w:tabs>
        <w:ind w:left="7506" w:hanging="180"/>
      </w:pPr>
      <w:rPr>
        <w:rFonts w:cs="Times New Roman"/>
      </w:rPr>
    </w:lvl>
  </w:abstractNum>
  <w:abstractNum w:abstractNumId="1" w15:restartNumberingAfterBreak="0">
    <w:nsid w:val="18761822"/>
    <w:multiLevelType w:val="singleLevel"/>
    <w:tmpl w:val="13EA7172"/>
    <w:lvl w:ilvl="0">
      <w:start w:val="1"/>
      <w:numFmt w:val="decimal"/>
      <w:lvlText w:val="%1."/>
      <w:legacy w:legacy="1" w:legacySpace="0" w:legacyIndent="283"/>
      <w:lvlJc w:val="left"/>
      <w:pPr>
        <w:ind w:left="283" w:hanging="283"/>
      </w:pPr>
      <w:rPr>
        <w:rFonts w:cs="Times New Roman"/>
      </w:rPr>
    </w:lvl>
  </w:abstractNum>
  <w:abstractNum w:abstractNumId="2" w15:restartNumberingAfterBreak="0">
    <w:nsid w:val="1B2A5477"/>
    <w:multiLevelType w:val="hybridMultilevel"/>
    <w:tmpl w:val="4ACCEA62"/>
    <w:lvl w:ilvl="0" w:tplc="040C000F">
      <w:start w:val="1"/>
      <w:numFmt w:val="decimal"/>
      <w:lvlText w:val="%1."/>
      <w:lvlJc w:val="left"/>
      <w:pPr>
        <w:ind w:left="1211" w:hanging="360"/>
      </w:pPr>
      <w:rPr>
        <w:rFonts w:cs="Times New Roman"/>
      </w:rPr>
    </w:lvl>
    <w:lvl w:ilvl="1" w:tplc="040C0019">
      <w:start w:val="1"/>
      <w:numFmt w:val="lowerLetter"/>
      <w:lvlText w:val="%2."/>
      <w:lvlJc w:val="left"/>
      <w:pPr>
        <w:ind w:left="1931" w:hanging="360"/>
      </w:pPr>
      <w:rPr>
        <w:rFonts w:cs="Times New Roman"/>
      </w:rPr>
    </w:lvl>
    <w:lvl w:ilvl="2" w:tplc="040C001B">
      <w:start w:val="1"/>
      <w:numFmt w:val="lowerRoman"/>
      <w:lvlText w:val="%3."/>
      <w:lvlJc w:val="right"/>
      <w:pPr>
        <w:ind w:left="2651" w:hanging="180"/>
      </w:pPr>
      <w:rPr>
        <w:rFonts w:cs="Times New Roman"/>
      </w:rPr>
    </w:lvl>
    <w:lvl w:ilvl="3" w:tplc="040C000F">
      <w:start w:val="1"/>
      <w:numFmt w:val="decimal"/>
      <w:lvlText w:val="%4."/>
      <w:lvlJc w:val="left"/>
      <w:pPr>
        <w:ind w:left="3371" w:hanging="360"/>
      </w:pPr>
      <w:rPr>
        <w:rFonts w:cs="Times New Roman"/>
      </w:rPr>
    </w:lvl>
    <w:lvl w:ilvl="4" w:tplc="040C0019">
      <w:start w:val="1"/>
      <w:numFmt w:val="lowerLetter"/>
      <w:lvlText w:val="%5."/>
      <w:lvlJc w:val="left"/>
      <w:pPr>
        <w:ind w:left="4091" w:hanging="360"/>
      </w:pPr>
      <w:rPr>
        <w:rFonts w:cs="Times New Roman"/>
      </w:rPr>
    </w:lvl>
    <w:lvl w:ilvl="5" w:tplc="040C001B">
      <w:start w:val="1"/>
      <w:numFmt w:val="lowerRoman"/>
      <w:lvlText w:val="%6."/>
      <w:lvlJc w:val="right"/>
      <w:pPr>
        <w:ind w:left="4811" w:hanging="180"/>
      </w:pPr>
      <w:rPr>
        <w:rFonts w:cs="Times New Roman"/>
      </w:rPr>
    </w:lvl>
    <w:lvl w:ilvl="6" w:tplc="040C000F">
      <w:start w:val="1"/>
      <w:numFmt w:val="decimal"/>
      <w:lvlText w:val="%7."/>
      <w:lvlJc w:val="left"/>
      <w:pPr>
        <w:ind w:left="5531" w:hanging="360"/>
      </w:pPr>
      <w:rPr>
        <w:rFonts w:cs="Times New Roman"/>
      </w:rPr>
    </w:lvl>
    <w:lvl w:ilvl="7" w:tplc="040C0019">
      <w:start w:val="1"/>
      <w:numFmt w:val="lowerLetter"/>
      <w:lvlText w:val="%8."/>
      <w:lvlJc w:val="left"/>
      <w:pPr>
        <w:ind w:left="6251" w:hanging="360"/>
      </w:pPr>
      <w:rPr>
        <w:rFonts w:cs="Times New Roman"/>
      </w:rPr>
    </w:lvl>
    <w:lvl w:ilvl="8" w:tplc="040C001B">
      <w:start w:val="1"/>
      <w:numFmt w:val="lowerRoman"/>
      <w:lvlText w:val="%9."/>
      <w:lvlJc w:val="right"/>
      <w:pPr>
        <w:ind w:left="6971" w:hanging="180"/>
      </w:pPr>
      <w:rPr>
        <w:rFonts w:cs="Times New Roman"/>
      </w:rPr>
    </w:lvl>
  </w:abstractNum>
  <w:abstractNum w:abstractNumId="3" w15:restartNumberingAfterBreak="0">
    <w:nsid w:val="3149696C"/>
    <w:multiLevelType w:val="singleLevel"/>
    <w:tmpl w:val="394EF1F6"/>
    <w:lvl w:ilvl="0">
      <w:start w:val="1"/>
      <w:numFmt w:val="lowerRoman"/>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4" w15:restartNumberingAfterBreak="0">
    <w:nsid w:val="31BF1706"/>
    <w:multiLevelType w:val="hybridMultilevel"/>
    <w:tmpl w:val="47C0176E"/>
    <w:lvl w:ilvl="0" w:tplc="08090011">
      <w:start w:val="1"/>
      <w:numFmt w:val="decimal"/>
      <w:lvlText w:val="%1)"/>
      <w:lvlJc w:val="left"/>
      <w:pPr>
        <w:tabs>
          <w:tab w:val="num" w:pos="1145"/>
        </w:tabs>
        <w:ind w:left="1145" w:hanging="360"/>
      </w:pPr>
      <w:rPr>
        <w:rFonts w:cs="Times New Roman"/>
      </w:rPr>
    </w:lvl>
    <w:lvl w:ilvl="1" w:tplc="08090019" w:tentative="1">
      <w:start w:val="1"/>
      <w:numFmt w:val="lowerLetter"/>
      <w:lvlText w:val="%2."/>
      <w:lvlJc w:val="left"/>
      <w:pPr>
        <w:tabs>
          <w:tab w:val="num" w:pos="1865"/>
        </w:tabs>
        <w:ind w:left="1865" w:hanging="360"/>
      </w:pPr>
      <w:rPr>
        <w:rFonts w:cs="Times New Roman"/>
      </w:rPr>
    </w:lvl>
    <w:lvl w:ilvl="2" w:tplc="0809001B" w:tentative="1">
      <w:start w:val="1"/>
      <w:numFmt w:val="lowerRoman"/>
      <w:lvlText w:val="%3."/>
      <w:lvlJc w:val="right"/>
      <w:pPr>
        <w:tabs>
          <w:tab w:val="num" w:pos="2585"/>
        </w:tabs>
        <w:ind w:left="2585" w:hanging="180"/>
      </w:pPr>
      <w:rPr>
        <w:rFonts w:cs="Times New Roman"/>
      </w:rPr>
    </w:lvl>
    <w:lvl w:ilvl="3" w:tplc="0809000F" w:tentative="1">
      <w:start w:val="1"/>
      <w:numFmt w:val="decimal"/>
      <w:lvlText w:val="%4."/>
      <w:lvlJc w:val="left"/>
      <w:pPr>
        <w:tabs>
          <w:tab w:val="num" w:pos="3305"/>
        </w:tabs>
        <w:ind w:left="3305" w:hanging="360"/>
      </w:pPr>
      <w:rPr>
        <w:rFonts w:cs="Times New Roman"/>
      </w:rPr>
    </w:lvl>
    <w:lvl w:ilvl="4" w:tplc="08090019" w:tentative="1">
      <w:start w:val="1"/>
      <w:numFmt w:val="lowerLetter"/>
      <w:lvlText w:val="%5."/>
      <w:lvlJc w:val="left"/>
      <w:pPr>
        <w:tabs>
          <w:tab w:val="num" w:pos="4025"/>
        </w:tabs>
        <w:ind w:left="4025" w:hanging="360"/>
      </w:pPr>
      <w:rPr>
        <w:rFonts w:cs="Times New Roman"/>
      </w:rPr>
    </w:lvl>
    <w:lvl w:ilvl="5" w:tplc="0809001B" w:tentative="1">
      <w:start w:val="1"/>
      <w:numFmt w:val="lowerRoman"/>
      <w:lvlText w:val="%6."/>
      <w:lvlJc w:val="right"/>
      <w:pPr>
        <w:tabs>
          <w:tab w:val="num" w:pos="4745"/>
        </w:tabs>
        <w:ind w:left="4745" w:hanging="180"/>
      </w:pPr>
      <w:rPr>
        <w:rFonts w:cs="Times New Roman"/>
      </w:rPr>
    </w:lvl>
    <w:lvl w:ilvl="6" w:tplc="0809000F" w:tentative="1">
      <w:start w:val="1"/>
      <w:numFmt w:val="decimal"/>
      <w:lvlText w:val="%7."/>
      <w:lvlJc w:val="left"/>
      <w:pPr>
        <w:tabs>
          <w:tab w:val="num" w:pos="5465"/>
        </w:tabs>
        <w:ind w:left="5465" w:hanging="360"/>
      </w:pPr>
      <w:rPr>
        <w:rFonts w:cs="Times New Roman"/>
      </w:rPr>
    </w:lvl>
    <w:lvl w:ilvl="7" w:tplc="08090019" w:tentative="1">
      <w:start w:val="1"/>
      <w:numFmt w:val="lowerLetter"/>
      <w:lvlText w:val="%8."/>
      <w:lvlJc w:val="left"/>
      <w:pPr>
        <w:tabs>
          <w:tab w:val="num" w:pos="6185"/>
        </w:tabs>
        <w:ind w:left="6185" w:hanging="360"/>
      </w:pPr>
      <w:rPr>
        <w:rFonts w:cs="Times New Roman"/>
      </w:rPr>
    </w:lvl>
    <w:lvl w:ilvl="8" w:tplc="0809001B" w:tentative="1">
      <w:start w:val="1"/>
      <w:numFmt w:val="lowerRoman"/>
      <w:lvlText w:val="%9."/>
      <w:lvlJc w:val="right"/>
      <w:pPr>
        <w:tabs>
          <w:tab w:val="num" w:pos="6905"/>
        </w:tabs>
        <w:ind w:left="6905" w:hanging="180"/>
      </w:pPr>
      <w:rPr>
        <w:rFonts w:cs="Times New Roman"/>
      </w:rPr>
    </w:lvl>
  </w:abstractNum>
  <w:abstractNum w:abstractNumId="5" w15:restartNumberingAfterBreak="0">
    <w:nsid w:val="4C3C52AC"/>
    <w:multiLevelType w:val="singleLevel"/>
    <w:tmpl w:val="97203632"/>
    <w:lvl w:ilvl="0">
      <w:start w:val="2"/>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6" w15:restartNumberingAfterBreak="0">
    <w:nsid w:val="4D5737BD"/>
    <w:multiLevelType w:val="hybridMultilevel"/>
    <w:tmpl w:val="6B60E32E"/>
    <w:lvl w:ilvl="0" w:tplc="4C607B12">
      <w:start w:val="1"/>
      <w:numFmt w:val="decimal"/>
      <w:lvlText w:val="%1."/>
      <w:lvlJc w:val="left"/>
      <w:pPr>
        <w:tabs>
          <w:tab w:val="num" w:pos="567"/>
        </w:tabs>
        <w:ind w:left="567" w:hanging="56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4E6E10D8"/>
    <w:multiLevelType w:val="hybridMultilevel"/>
    <w:tmpl w:val="E7E2874E"/>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6A9939A8"/>
    <w:multiLevelType w:val="hybridMultilevel"/>
    <w:tmpl w:val="34F8619A"/>
    <w:lvl w:ilvl="0" w:tplc="08090001">
      <w:start w:val="1"/>
      <w:numFmt w:val="bullet"/>
      <w:lvlText w:val=""/>
      <w:lvlJc w:val="left"/>
      <w:pPr>
        <w:tabs>
          <w:tab w:val="num" w:pos="1505"/>
        </w:tabs>
        <w:ind w:left="1505" w:hanging="360"/>
      </w:pPr>
      <w:rPr>
        <w:rFonts w:ascii="Symbol" w:hAnsi="Symbol" w:hint="default"/>
      </w:rPr>
    </w:lvl>
    <w:lvl w:ilvl="1" w:tplc="08090003" w:tentative="1">
      <w:start w:val="1"/>
      <w:numFmt w:val="bullet"/>
      <w:lvlText w:val="o"/>
      <w:lvlJc w:val="left"/>
      <w:pPr>
        <w:tabs>
          <w:tab w:val="num" w:pos="2225"/>
        </w:tabs>
        <w:ind w:left="2225" w:hanging="360"/>
      </w:pPr>
      <w:rPr>
        <w:rFonts w:ascii="Courier New" w:hAnsi="Courier New" w:hint="default"/>
      </w:rPr>
    </w:lvl>
    <w:lvl w:ilvl="2" w:tplc="08090005" w:tentative="1">
      <w:start w:val="1"/>
      <w:numFmt w:val="bullet"/>
      <w:lvlText w:val=""/>
      <w:lvlJc w:val="left"/>
      <w:pPr>
        <w:tabs>
          <w:tab w:val="num" w:pos="2945"/>
        </w:tabs>
        <w:ind w:left="2945" w:hanging="360"/>
      </w:pPr>
      <w:rPr>
        <w:rFonts w:ascii="Wingdings" w:hAnsi="Wingdings" w:hint="default"/>
      </w:rPr>
    </w:lvl>
    <w:lvl w:ilvl="3" w:tplc="08090001" w:tentative="1">
      <w:start w:val="1"/>
      <w:numFmt w:val="bullet"/>
      <w:lvlText w:val=""/>
      <w:lvlJc w:val="left"/>
      <w:pPr>
        <w:tabs>
          <w:tab w:val="num" w:pos="3665"/>
        </w:tabs>
        <w:ind w:left="3665" w:hanging="360"/>
      </w:pPr>
      <w:rPr>
        <w:rFonts w:ascii="Symbol" w:hAnsi="Symbol" w:hint="default"/>
      </w:rPr>
    </w:lvl>
    <w:lvl w:ilvl="4" w:tplc="08090003" w:tentative="1">
      <w:start w:val="1"/>
      <w:numFmt w:val="bullet"/>
      <w:lvlText w:val="o"/>
      <w:lvlJc w:val="left"/>
      <w:pPr>
        <w:tabs>
          <w:tab w:val="num" w:pos="4385"/>
        </w:tabs>
        <w:ind w:left="4385" w:hanging="360"/>
      </w:pPr>
      <w:rPr>
        <w:rFonts w:ascii="Courier New" w:hAnsi="Courier New" w:hint="default"/>
      </w:rPr>
    </w:lvl>
    <w:lvl w:ilvl="5" w:tplc="08090005" w:tentative="1">
      <w:start w:val="1"/>
      <w:numFmt w:val="bullet"/>
      <w:lvlText w:val=""/>
      <w:lvlJc w:val="left"/>
      <w:pPr>
        <w:tabs>
          <w:tab w:val="num" w:pos="5105"/>
        </w:tabs>
        <w:ind w:left="5105" w:hanging="360"/>
      </w:pPr>
      <w:rPr>
        <w:rFonts w:ascii="Wingdings" w:hAnsi="Wingdings" w:hint="default"/>
      </w:rPr>
    </w:lvl>
    <w:lvl w:ilvl="6" w:tplc="08090001" w:tentative="1">
      <w:start w:val="1"/>
      <w:numFmt w:val="bullet"/>
      <w:lvlText w:val=""/>
      <w:lvlJc w:val="left"/>
      <w:pPr>
        <w:tabs>
          <w:tab w:val="num" w:pos="5825"/>
        </w:tabs>
        <w:ind w:left="5825" w:hanging="360"/>
      </w:pPr>
      <w:rPr>
        <w:rFonts w:ascii="Symbol" w:hAnsi="Symbol" w:hint="default"/>
      </w:rPr>
    </w:lvl>
    <w:lvl w:ilvl="7" w:tplc="08090003" w:tentative="1">
      <w:start w:val="1"/>
      <w:numFmt w:val="bullet"/>
      <w:lvlText w:val="o"/>
      <w:lvlJc w:val="left"/>
      <w:pPr>
        <w:tabs>
          <w:tab w:val="num" w:pos="6545"/>
        </w:tabs>
        <w:ind w:left="6545" w:hanging="360"/>
      </w:pPr>
      <w:rPr>
        <w:rFonts w:ascii="Courier New" w:hAnsi="Courier New" w:hint="default"/>
      </w:rPr>
    </w:lvl>
    <w:lvl w:ilvl="8" w:tplc="08090005" w:tentative="1">
      <w:start w:val="1"/>
      <w:numFmt w:val="bullet"/>
      <w:lvlText w:val=""/>
      <w:lvlJc w:val="left"/>
      <w:pPr>
        <w:tabs>
          <w:tab w:val="num" w:pos="7265"/>
        </w:tabs>
        <w:ind w:left="7265" w:hanging="360"/>
      </w:pPr>
      <w:rPr>
        <w:rFonts w:ascii="Wingdings" w:hAnsi="Wingdings" w:hint="default"/>
      </w:rPr>
    </w:lvl>
  </w:abstractNum>
  <w:abstractNum w:abstractNumId="9" w15:restartNumberingAfterBreak="0">
    <w:nsid w:val="6D506E85"/>
    <w:multiLevelType w:val="multilevel"/>
    <w:tmpl w:val="384C1474"/>
    <w:lvl w:ilvl="0">
      <w:start w:val="1"/>
      <w:numFmt w:val="decimal"/>
      <w:lvlText w:val="%1."/>
      <w:lvlJc w:val="left"/>
      <w:pPr>
        <w:tabs>
          <w:tab w:val="num" w:pos="1134"/>
        </w:tabs>
        <w:ind w:left="1134" w:hanging="113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6F0A22C1"/>
    <w:multiLevelType w:val="hybridMultilevel"/>
    <w:tmpl w:val="3CBEA6BE"/>
    <w:lvl w:ilvl="0" w:tplc="08090001">
      <w:start w:val="1"/>
      <w:numFmt w:val="bullet"/>
      <w:lvlText w:val=""/>
      <w:lvlJc w:val="left"/>
      <w:pPr>
        <w:tabs>
          <w:tab w:val="num" w:pos="1145"/>
        </w:tabs>
        <w:ind w:left="1145" w:hanging="360"/>
      </w:pPr>
      <w:rPr>
        <w:rFonts w:ascii="Symbol" w:hAnsi="Symbol" w:hint="default"/>
      </w:rPr>
    </w:lvl>
    <w:lvl w:ilvl="1" w:tplc="08090003" w:tentative="1">
      <w:start w:val="1"/>
      <w:numFmt w:val="bullet"/>
      <w:lvlText w:val="o"/>
      <w:lvlJc w:val="left"/>
      <w:pPr>
        <w:tabs>
          <w:tab w:val="num" w:pos="1865"/>
        </w:tabs>
        <w:ind w:left="1865" w:hanging="360"/>
      </w:pPr>
      <w:rPr>
        <w:rFonts w:ascii="Courier New" w:hAnsi="Courier New" w:hint="default"/>
      </w:rPr>
    </w:lvl>
    <w:lvl w:ilvl="2" w:tplc="08090005" w:tentative="1">
      <w:start w:val="1"/>
      <w:numFmt w:val="bullet"/>
      <w:lvlText w:val=""/>
      <w:lvlJc w:val="left"/>
      <w:pPr>
        <w:tabs>
          <w:tab w:val="num" w:pos="2585"/>
        </w:tabs>
        <w:ind w:left="2585" w:hanging="360"/>
      </w:pPr>
      <w:rPr>
        <w:rFonts w:ascii="Wingdings" w:hAnsi="Wingdings" w:hint="default"/>
      </w:rPr>
    </w:lvl>
    <w:lvl w:ilvl="3" w:tplc="08090001" w:tentative="1">
      <w:start w:val="1"/>
      <w:numFmt w:val="bullet"/>
      <w:lvlText w:val=""/>
      <w:lvlJc w:val="left"/>
      <w:pPr>
        <w:tabs>
          <w:tab w:val="num" w:pos="3305"/>
        </w:tabs>
        <w:ind w:left="3305" w:hanging="360"/>
      </w:pPr>
      <w:rPr>
        <w:rFonts w:ascii="Symbol" w:hAnsi="Symbol" w:hint="default"/>
      </w:rPr>
    </w:lvl>
    <w:lvl w:ilvl="4" w:tplc="08090003" w:tentative="1">
      <w:start w:val="1"/>
      <w:numFmt w:val="bullet"/>
      <w:lvlText w:val="o"/>
      <w:lvlJc w:val="left"/>
      <w:pPr>
        <w:tabs>
          <w:tab w:val="num" w:pos="4025"/>
        </w:tabs>
        <w:ind w:left="4025" w:hanging="360"/>
      </w:pPr>
      <w:rPr>
        <w:rFonts w:ascii="Courier New" w:hAnsi="Courier New" w:hint="default"/>
      </w:rPr>
    </w:lvl>
    <w:lvl w:ilvl="5" w:tplc="08090005" w:tentative="1">
      <w:start w:val="1"/>
      <w:numFmt w:val="bullet"/>
      <w:lvlText w:val=""/>
      <w:lvlJc w:val="left"/>
      <w:pPr>
        <w:tabs>
          <w:tab w:val="num" w:pos="4745"/>
        </w:tabs>
        <w:ind w:left="4745" w:hanging="360"/>
      </w:pPr>
      <w:rPr>
        <w:rFonts w:ascii="Wingdings" w:hAnsi="Wingdings" w:hint="default"/>
      </w:rPr>
    </w:lvl>
    <w:lvl w:ilvl="6" w:tplc="08090001" w:tentative="1">
      <w:start w:val="1"/>
      <w:numFmt w:val="bullet"/>
      <w:lvlText w:val=""/>
      <w:lvlJc w:val="left"/>
      <w:pPr>
        <w:tabs>
          <w:tab w:val="num" w:pos="5465"/>
        </w:tabs>
        <w:ind w:left="5465" w:hanging="360"/>
      </w:pPr>
      <w:rPr>
        <w:rFonts w:ascii="Symbol" w:hAnsi="Symbol" w:hint="default"/>
      </w:rPr>
    </w:lvl>
    <w:lvl w:ilvl="7" w:tplc="08090003" w:tentative="1">
      <w:start w:val="1"/>
      <w:numFmt w:val="bullet"/>
      <w:lvlText w:val="o"/>
      <w:lvlJc w:val="left"/>
      <w:pPr>
        <w:tabs>
          <w:tab w:val="num" w:pos="6185"/>
        </w:tabs>
        <w:ind w:left="6185" w:hanging="360"/>
      </w:pPr>
      <w:rPr>
        <w:rFonts w:ascii="Courier New" w:hAnsi="Courier New" w:hint="default"/>
      </w:rPr>
    </w:lvl>
    <w:lvl w:ilvl="8" w:tplc="08090005" w:tentative="1">
      <w:start w:val="1"/>
      <w:numFmt w:val="bullet"/>
      <w:lvlText w:val=""/>
      <w:lvlJc w:val="left"/>
      <w:pPr>
        <w:tabs>
          <w:tab w:val="num" w:pos="6905"/>
        </w:tabs>
        <w:ind w:left="6905" w:hanging="360"/>
      </w:pPr>
      <w:rPr>
        <w:rFonts w:ascii="Wingdings" w:hAnsi="Wingdings" w:hint="default"/>
      </w:rPr>
    </w:lvl>
  </w:abstractNum>
  <w:abstractNum w:abstractNumId="11" w15:restartNumberingAfterBreak="0">
    <w:nsid w:val="724E7DDC"/>
    <w:multiLevelType w:val="hybridMultilevel"/>
    <w:tmpl w:val="65B8B3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cs="Times New Roman" w:hint="default"/>
        <w:b w:val="0"/>
        <w:i w:val="0"/>
        <w:sz w:val="18"/>
        <w:u w:val="none"/>
      </w:rPr>
    </w:lvl>
  </w:abstractNum>
  <w:abstractNum w:abstractNumId="13"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cs="Times New Roman" w:hint="default"/>
        <w:b w:val="0"/>
        <w:i w:val="0"/>
        <w:sz w:val="18"/>
        <w:u w:val="none"/>
      </w:rPr>
    </w:lvl>
  </w:abstractNum>
  <w:num w:numId="1">
    <w:abstractNumId w:val="12"/>
  </w:num>
  <w:num w:numId="2">
    <w:abstractNumId w:val="13"/>
  </w:num>
  <w:num w:numId="3">
    <w:abstractNumId w:val="13"/>
    <w:lvlOverride w:ilvl="0">
      <w:lvl w:ilvl="0">
        <w:start w:val="1"/>
        <w:numFmt w:val="lowerRoman"/>
        <w:lvlText w:val="%1) "/>
        <w:legacy w:legacy="1" w:legacySpace="0" w:legacyIndent="283"/>
        <w:lvlJc w:val="left"/>
        <w:pPr>
          <w:ind w:left="708" w:hanging="283"/>
        </w:pPr>
        <w:rPr>
          <w:rFonts w:ascii="Arial" w:hAnsi="Arial" w:cs="Times New Roman" w:hint="default"/>
          <w:b w:val="0"/>
          <w:i w:val="0"/>
          <w:sz w:val="18"/>
          <w:u w:val="none"/>
        </w:rPr>
      </w:lvl>
    </w:lvlOverride>
  </w:num>
  <w:num w:numId="4">
    <w:abstractNumId w:val="3"/>
  </w:num>
  <w:num w:numId="5">
    <w:abstractNumId w:val="5"/>
  </w:num>
  <w:num w:numId="6">
    <w:abstractNumId w:val="1"/>
  </w:num>
  <w:num w:numId="7">
    <w:abstractNumId w:val="4"/>
  </w:num>
  <w:num w:numId="8">
    <w:abstractNumId w:val="8"/>
  </w:num>
  <w:num w:numId="9">
    <w:abstractNumId w:val="10"/>
  </w:num>
  <w:num w:numId="10">
    <w:abstractNumId w:val="7"/>
  </w:num>
  <w:num w:numId="11">
    <w:abstractNumId w:val="6"/>
  </w:num>
  <w:num w:numId="12">
    <w:abstractNumId w:val="0"/>
  </w:num>
  <w:num w:numId="13">
    <w:abstractNumId w:val="9"/>
  </w:num>
  <w:num w:numId="14">
    <w:abstractNumId w:val="11"/>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embedSystemFonts/>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BB5"/>
    <w:rsid w:val="000006E0"/>
    <w:rsid w:val="00002C4C"/>
    <w:rsid w:val="00012A10"/>
    <w:rsid w:val="00013229"/>
    <w:rsid w:val="0002057A"/>
    <w:rsid w:val="000239E6"/>
    <w:rsid w:val="00024A94"/>
    <w:rsid w:val="0002592E"/>
    <w:rsid w:val="00026B4B"/>
    <w:rsid w:val="000313A6"/>
    <w:rsid w:val="00034A1E"/>
    <w:rsid w:val="00034E87"/>
    <w:rsid w:val="00044195"/>
    <w:rsid w:val="00046142"/>
    <w:rsid w:val="000538CC"/>
    <w:rsid w:val="00054987"/>
    <w:rsid w:val="00054AEA"/>
    <w:rsid w:val="000558CA"/>
    <w:rsid w:val="00061DC6"/>
    <w:rsid w:val="00063721"/>
    <w:rsid w:val="00064A86"/>
    <w:rsid w:val="00075E7C"/>
    <w:rsid w:val="0007622A"/>
    <w:rsid w:val="00080B52"/>
    <w:rsid w:val="00081837"/>
    <w:rsid w:val="000848F6"/>
    <w:rsid w:val="00090F9D"/>
    <w:rsid w:val="00097887"/>
    <w:rsid w:val="000A21D0"/>
    <w:rsid w:val="000B0EC9"/>
    <w:rsid w:val="000B3249"/>
    <w:rsid w:val="000C3B6B"/>
    <w:rsid w:val="000C7657"/>
    <w:rsid w:val="000D40C9"/>
    <w:rsid w:val="000D63EE"/>
    <w:rsid w:val="000E577E"/>
    <w:rsid w:val="000F722A"/>
    <w:rsid w:val="001115E8"/>
    <w:rsid w:val="001159CE"/>
    <w:rsid w:val="001221B7"/>
    <w:rsid w:val="0012386D"/>
    <w:rsid w:val="001305CF"/>
    <w:rsid w:val="001323EB"/>
    <w:rsid w:val="00133289"/>
    <w:rsid w:val="001353E2"/>
    <w:rsid w:val="00143375"/>
    <w:rsid w:val="00143ABE"/>
    <w:rsid w:val="001513CD"/>
    <w:rsid w:val="00152541"/>
    <w:rsid w:val="001532C6"/>
    <w:rsid w:val="00154AE3"/>
    <w:rsid w:val="00155142"/>
    <w:rsid w:val="0015555D"/>
    <w:rsid w:val="00166685"/>
    <w:rsid w:val="0017110D"/>
    <w:rsid w:val="00171410"/>
    <w:rsid w:val="00171462"/>
    <w:rsid w:val="00172035"/>
    <w:rsid w:val="001726DA"/>
    <w:rsid w:val="00172EEF"/>
    <w:rsid w:val="0017334D"/>
    <w:rsid w:val="001765E7"/>
    <w:rsid w:val="00183945"/>
    <w:rsid w:val="00185A73"/>
    <w:rsid w:val="00186749"/>
    <w:rsid w:val="0018674A"/>
    <w:rsid w:val="00191401"/>
    <w:rsid w:val="001923C5"/>
    <w:rsid w:val="00195B8C"/>
    <w:rsid w:val="00197084"/>
    <w:rsid w:val="001A157E"/>
    <w:rsid w:val="001A53C6"/>
    <w:rsid w:val="001A7177"/>
    <w:rsid w:val="001B1E7C"/>
    <w:rsid w:val="001C12BE"/>
    <w:rsid w:val="001C374D"/>
    <w:rsid w:val="001C4C8E"/>
    <w:rsid w:val="001C63EE"/>
    <w:rsid w:val="001C6EA5"/>
    <w:rsid w:val="001D274D"/>
    <w:rsid w:val="001D2FF5"/>
    <w:rsid w:val="001D4491"/>
    <w:rsid w:val="001E62CC"/>
    <w:rsid w:val="00201689"/>
    <w:rsid w:val="00202191"/>
    <w:rsid w:val="00202DA8"/>
    <w:rsid w:val="0020449F"/>
    <w:rsid w:val="002071FA"/>
    <w:rsid w:val="002078AA"/>
    <w:rsid w:val="00212442"/>
    <w:rsid w:val="00212847"/>
    <w:rsid w:val="002136E8"/>
    <w:rsid w:val="00215A3C"/>
    <w:rsid w:val="00216F5E"/>
    <w:rsid w:val="00217E46"/>
    <w:rsid w:val="00223A45"/>
    <w:rsid w:val="00225BB5"/>
    <w:rsid w:val="002266AD"/>
    <w:rsid w:val="00233539"/>
    <w:rsid w:val="00236D2E"/>
    <w:rsid w:val="002376A2"/>
    <w:rsid w:val="00242416"/>
    <w:rsid w:val="00242A97"/>
    <w:rsid w:val="00242EFC"/>
    <w:rsid w:val="00243336"/>
    <w:rsid w:val="00243928"/>
    <w:rsid w:val="00254C79"/>
    <w:rsid w:val="00261C31"/>
    <w:rsid w:val="002774DD"/>
    <w:rsid w:val="0028187F"/>
    <w:rsid w:val="00282CDD"/>
    <w:rsid w:val="00285D33"/>
    <w:rsid w:val="0028624E"/>
    <w:rsid w:val="00287209"/>
    <w:rsid w:val="00287226"/>
    <w:rsid w:val="00287D44"/>
    <w:rsid w:val="00293B4E"/>
    <w:rsid w:val="002949D0"/>
    <w:rsid w:val="00295EFE"/>
    <w:rsid w:val="002A58A0"/>
    <w:rsid w:val="002A708E"/>
    <w:rsid w:val="002A70A8"/>
    <w:rsid w:val="002B051F"/>
    <w:rsid w:val="002B084E"/>
    <w:rsid w:val="002B2E91"/>
    <w:rsid w:val="002B5673"/>
    <w:rsid w:val="002C03AA"/>
    <w:rsid w:val="002C15EE"/>
    <w:rsid w:val="002C4F5A"/>
    <w:rsid w:val="002C55E9"/>
    <w:rsid w:val="002C7223"/>
    <w:rsid w:val="002C7453"/>
    <w:rsid w:val="002C7661"/>
    <w:rsid w:val="002D09EA"/>
    <w:rsid w:val="002D37DF"/>
    <w:rsid w:val="002D4572"/>
    <w:rsid w:val="002D7A4C"/>
    <w:rsid w:val="002E4D38"/>
    <w:rsid w:val="002E572D"/>
    <w:rsid w:val="002E69F9"/>
    <w:rsid w:val="002F2C13"/>
    <w:rsid w:val="002F467A"/>
    <w:rsid w:val="002F65C2"/>
    <w:rsid w:val="002F7DC7"/>
    <w:rsid w:val="00304C3A"/>
    <w:rsid w:val="003112F7"/>
    <w:rsid w:val="00314F52"/>
    <w:rsid w:val="003157AA"/>
    <w:rsid w:val="00322693"/>
    <w:rsid w:val="003227F0"/>
    <w:rsid w:val="003251F3"/>
    <w:rsid w:val="0033261D"/>
    <w:rsid w:val="003331F4"/>
    <w:rsid w:val="003361E7"/>
    <w:rsid w:val="003377DA"/>
    <w:rsid w:val="003408A5"/>
    <w:rsid w:val="003443E9"/>
    <w:rsid w:val="00344B84"/>
    <w:rsid w:val="003458D6"/>
    <w:rsid w:val="00345C63"/>
    <w:rsid w:val="0035203B"/>
    <w:rsid w:val="00353DE1"/>
    <w:rsid w:val="00360828"/>
    <w:rsid w:val="003652E8"/>
    <w:rsid w:val="0036622A"/>
    <w:rsid w:val="00377987"/>
    <w:rsid w:val="00377C45"/>
    <w:rsid w:val="0038532A"/>
    <w:rsid w:val="00392616"/>
    <w:rsid w:val="003A0D1E"/>
    <w:rsid w:val="003A1D34"/>
    <w:rsid w:val="003A3C68"/>
    <w:rsid w:val="003B2736"/>
    <w:rsid w:val="003B3509"/>
    <w:rsid w:val="003B6EE6"/>
    <w:rsid w:val="003C4D72"/>
    <w:rsid w:val="003C6424"/>
    <w:rsid w:val="003D120B"/>
    <w:rsid w:val="003D3693"/>
    <w:rsid w:val="003E5139"/>
    <w:rsid w:val="003F3363"/>
    <w:rsid w:val="003F7CF6"/>
    <w:rsid w:val="00404D7A"/>
    <w:rsid w:val="00407CCF"/>
    <w:rsid w:val="00417F2A"/>
    <w:rsid w:val="004220A4"/>
    <w:rsid w:val="00426A30"/>
    <w:rsid w:val="0043331C"/>
    <w:rsid w:val="00433A2C"/>
    <w:rsid w:val="004363EE"/>
    <w:rsid w:val="00437714"/>
    <w:rsid w:val="004425A2"/>
    <w:rsid w:val="004428DC"/>
    <w:rsid w:val="00442C4F"/>
    <w:rsid w:val="00450580"/>
    <w:rsid w:val="004555A1"/>
    <w:rsid w:val="00463D59"/>
    <w:rsid w:val="004654B5"/>
    <w:rsid w:val="00465DE4"/>
    <w:rsid w:val="00467F48"/>
    <w:rsid w:val="0047557A"/>
    <w:rsid w:val="00475AA7"/>
    <w:rsid w:val="00481736"/>
    <w:rsid w:val="0049587D"/>
    <w:rsid w:val="004B069F"/>
    <w:rsid w:val="004B1A80"/>
    <w:rsid w:val="004B34D2"/>
    <w:rsid w:val="004B3D0C"/>
    <w:rsid w:val="004C4F4B"/>
    <w:rsid w:val="004C7FA9"/>
    <w:rsid w:val="004D27C5"/>
    <w:rsid w:val="004E1C94"/>
    <w:rsid w:val="004E316C"/>
    <w:rsid w:val="004F06B7"/>
    <w:rsid w:val="004F2D7E"/>
    <w:rsid w:val="004F3EEB"/>
    <w:rsid w:val="004F4FD9"/>
    <w:rsid w:val="004F66EA"/>
    <w:rsid w:val="005023AC"/>
    <w:rsid w:val="00502798"/>
    <w:rsid w:val="00502E88"/>
    <w:rsid w:val="00510CF5"/>
    <w:rsid w:val="00512B0E"/>
    <w:rsid w:val="00513A73"/>
    <w:rsid w:val="00517874"/>
    <w:rsid w:val="00531410"/>
    <w:rsid w:val="00536671"/>
    <w:rsid w:val="0053679F"/>
    <w:rsid w:val="0054581F"/>
    <w:rsid w:val="00556C73"/>
    <w:rsid w:val="00557C10"/>
    <w:rsid w:val="00564A40"/>
    <w:rsid w:val="005665A8"/>
    <w:rsid w:val="005675F9"/>
    <w:rsid w:val="00567798"/>
    <w:rsid w:val="00571B3D"/>
    <w:rsid w:val="00574C4B"/>
    <w:rsid w:val="005774F7"/>
    <w:rsid w:val="00580487"/>
    <w:rsid w:val="00583CBA"/>
    <w:rsid w:val="005903B9"/>
    <w:rsid w:val="00593680"/>
    <w:rsid w:val="005A20D6"/>
    <w:rsid w:val="005A22F5"/>
    <w:rsid w:val="005A421E"/>
    <w:rsid w:val="005A4A3C"/>
    <w:rsid w:val="005A6976"/>
    <w:rsid w:val="005B08DB"/>
    <w:rsid w:val="005B4456"/>
    <w:rsid w:val="005B5032"/>
    <w:rsid w:val="005C0C5F"/>
    <w:rsid w:val="005C48C4"/>
    <w:rsid w:val="005D34C6"/>
    <w:rsid w:val="005D36D3"/>
    <w:rsid w:val="005E0D5C"/>
    <w:rsid w:val="005E17EC"/>
    <w:rsid w:val="005E5290"/>
    <w:rsid w:val="005E5982"/>
    <w:rsid w:val="005E667B"/>
    <w:rsid w:val="005F0A04"/>
    <w:rsid w:val="006014D4"/>
    <w:rsid w:val="00602011"/>
    <w:rsid w:val="00603F81"/>
    <w:rsid w:val="00611AE0"/>
    <w:rsid w:val="00612F55"/>
    <w:rsid w:val="00621B81"/>
    <w:rsid w:val="00621D33"/>
    <w:rsid w:val="00621FEE"/>
    <w:rsid w:val="00622046"/>
    <w:rsid w:val="00622741"/>
    <w:rsid w:val="00624C8B"/>
    <w:rsid w:val="006264C8"/>
    <w:rsid w:val="00633A77"/>
    <w:rsid w:val="0063603A"/>
    <w:rsid w:val="006361D4"/>
    <w:rsid w:val="00641547"/>
    <w:rsid w:val="00644408"/>
    <w:rsid w:val="006509B9"/>
    <w:rsid w:val="00650DDE"/>
    <w:rsid w:val="006524F4"/>
    <w:rsid w:val="00657613"/>
    <w:rsid w:val="00661157"/>
    <w:rsid w:val="00670CB6"/>
    <w:rsid w:val="006827F9"/>
    <w:rsid w:val="00686061"/>
    <w:rsid w:val="006920F0"/>
    <w:rsid w:val="00695098"/>
    <w:rsid w:val="006B0467"/>
    <w:rsid w:val="006B28F6"/>
    <w:rsid w:val="006B2FF6"/>
    <w:rsid w:val="006B363B"/>
    <w:rsid w:val="006B42BE"/>
    <w:rsid w:val="006B4988"/>
    <w:rsid w:val="006B5501"/>
    <w:rsid w:val="006B7D23"/>
    <w:rsid w:val="006C3980"/>
    <w:rsid w:val="006D0F7F"/>
    <w:rsid w:val="006D3D1D"/>
    <w:rsid w:val="006E2355"/>
    <w:rsid w:val="006E4A50"/>
    <w:rsid w:val="006E4BEF"/>
    <w:rsid w:val="006E4C41"/>
    <w:rsid w:val="006F23E9"/>
    <w:rsid w:val="006F36CD"/>
    <w:rsid w:val="00700386"/>
    <w:rsid w:val="00706ECB"/>
    <w:rsid w:val="007120AD"/>
    <w:rsid w:val="00713412"/>
    <w:rsid w:val="00714EA0"/>
    <w:rsid w:val="00716C3E"/>
    <w:rsid w:val="007172D8"/>
    <w:rsid w:val="007175BA"/>
    <w:rsid w:val="0071797B"/>
    <w:rsid w:val="00720FE7"/>
    <w:rsid w:val="007224DB"/>
    <w:rsid w:val="00723287"/>
    <w:rsid w:val="00723A8B"/>
    <w:rsid w:val="00724C2A"/>
    <w:rsid w:val="00724E61"/>
    <w:rsid w:val="00725AED"/>
    <w:rsid w:val="00726E2C"/>
    <w:rsid w:val="00730A13"/>
    <w:rsid w:val="0073450F"/>
    <w:rsid w:val="00734712"/>
    <w:rsid w:val="00737126"/>
    <w:rsid w:val="00740D38"/>
    <w:rsid w:val="0074178D"/>
    <w:rsid w:val="0074529A"/>
    <w:rsid w:val="00746821"/>
    <w:rsid w:val="0075008C"/>
    <w:rsid w:val="00767CEC"/>
    <w:rsid w:val="00774FE4"/>
    <w:rsid w:val="00776C9E"/>
    <w:rsid w:val="0078323E"/>
    <w:rsid w:val="007A3B70"/>
    <w:rsid w:val="007A7E1E"/>
    <w:rsid w:val="007B0FD2"/>
    <w:rsid w:val="007B551E"/>
    <w:rsid w:val="007C196C"/>
    <w:rsid w:val="007C7521"/>
    <w:rsid w:val="007D17A8"/>
    <w:rsid w:val="007D1DFE"/>
    <w:rsid w:val="007D2139"/>
    <w:rsid w:val="007D6DA1"/>
    <w:rsid w:val="007E0F88"/>
    <w:rsid w:val="007E3A99"/>
    <w:rsid w:val="007E51E0"/>
    <w:rsid w:val="007E56A8"/>
    <w:rsid w:val="007E7296"/>
    <w:rsid w:val="008000B1"/>
    <w:rsid w:val="00800D04"/>
    <w:rsid w:val="008013FD"/>
    <w:rsid w:val="008016BD"/>
    <w:rsid w:val="00804D48"/>
    <w:rsid w:val="00806D84"/>
    <w:rsid w:val="008116E1"/>
    <w:rsid w:val="0081358D"/>
    <w:rsid w:val="00815041"/>
    <w:rsid w:val="008179E7"/>
    <w:rsid w:val="00832C31"/>
    <w:rsid w:val="00835A34"/>
    <w:rsid w:val="00842BDD"/>
    <w:rsid w:val="008435C0"/>
    <w:rsid w:val="00844018"/>
    <w:rsid w:val="00845667"/>
    <w:rsid w:val="008461A6"/>
    <w:rsid w:val="008532D7"/>
    <w:rsid w:val="00865474"/>
    <w:rsid w:val="008666CD"/>
    <w:rsid w:val="008847C9"/>
    <w:rsid w:val="00884AF0"/>
    <w:rsid w:val="00893753"/>
    <w:rsid w:val="008A5254"/>
    <w:rsid w:val="008A5C62"/>
    <w:rsid w:val="008A66AA"/>
    <w:rsid w:val="008B1196"/>
    <w:rsid w:val="008B24EE"/>
    <w:rsid w:val="008C022B"/>
    <w:rsid w:val="008C4074"/>
    <w:rsid w:val="008D06D1"/>
    <w:rsid w:val="008D30CA"/>
    <w:rsid w:val="008E2EEF"/>
    <w:rsid w:val="008E461B"/>
    <w:rsid w:val="008F09A1"/>
    <w:rsid w:val="008F3ED9"/>
    <w:rsid w:val="008F64D8"/>
    <w:rsid w:val="008F68AD"/>
    <w:rsid w:val="00903A5C"/>
    <w:rsid w:val="0091096A"/>
    <w:rsid w:val="00911610"/>
    <w:rsid w:val="009120FE"/>
    <w:rsid w:val="00916555"/>
    <w:rsid w:val="00917C79"/>
    <w:rsid w:val="00923DE3"/>
    <w:rsid w:val="00925052"/>
    <w:rsid w:val="0093034E"/>
    <w:rsid w:val="00933299"/>
    <w:rsid w:val="009348F3"/>
    <w:rsid w:val="0093632F"/>
    <w:rsid w:val="0093774D"/>
    <w:rsid w:val="009407FA"/>
    <w:rsid w:val="009431F3"/>
    <w:rsid w:val="009446EA"/>
    <w:rsid w:val="00945E84"/>
    <w:rsid w:val="00950AEA"/>
    <w:rsid w:val="009518BD"/>
    <w:rsid w:val="00953F20"/>
    <w:rsid w:val="00953FB0"/>
    <w:rsid w:val="009579DB"/>
    <w:rsid w:val="00957B07"/>
    <w:rsid w:val="009716D4"/>
    <w:rsid w:val="00972A85"/>
    <w:rsid w:val="00973A96"/>
    <w:rsid w:val="00976B46"/>
    <w:rsid w:val="009800B4"/>
    <w:rsid w:val="009808E8"/>
    <w:rsid w:val="00981A6F"/>
    <w:rsid w:val="00983682"/>
    <w:rsid w:val="009938E1"/>
    <w:rsid w:val="00993C20"/>
    <w:rsid w:val="009950DD"/>
    <w:rsid w:val="00995351"/>
    <w:rsid w:val="009A1E68"/>
    <w:rsid w:val="009A5E35"/>
    <w:rsid w:val="009A6BF1"/>
    <w:rsid w:val="009B4911"/>
    <w:rsid w:val="009B4CBE"/>
    <w:rsid w:val="009C0964"/>
    <w:rsid w:val="009C6386"/>
    <w:rsid w:val="009C66F5"/>
    <w:rsid w:val="009D098C"/>
    <w:rsid w:val="009D6AC9"/>
    <w:rsid w:val="009E3AC3"/>
    <w:rsid w:val="009F3BE7"/>
    <w:rsid w:val="009F72C8"/>
    <w:rsid w:val="00A01B27"/>
    <w:rsid w:val="00A0384C"/>
    <w:rsid w:val="00A04465"/>
    <w:rsid w:val="00A05D90"/>
    <w:rsid w:val="00A14A25"/>
    <w:rsid w:val="00A17594"/>
    <w:rsid w:val="00A177C0"/>
    <w:rsid w:val="00A17F24"/>
    <w:rsid w:val="00A236D0"/>
    <w:rsid w:val="00A248B1"/>
    <w:rsid w:val="00A271B5"/>
    <w:rsid w:val="00A30C5D"/>
    <w:rsid w:val="00A314C7"/>
    <w:rsid w:val="00A33BF3"/>
    <w:rsid w:val="00A3417B"/>
    <w:rsid w:val="00A35D90"/>
    <w:rsid w:val="00A3624E"/>
    <w:rsid w:val="00A3708E"/>
    <w:rsid w:val="00A37B4F"/>
    <w:rsid w:val="00A41E50"/>
    <w:rsid w:val="00A43FCB"/>
    <w:rsid w:val="00A50ACB"/>
    <w:rsid w:val="00A663EC"/>
    <w:rsid w:val="00A74BA8"/>
    <w:rsid w:val="00A802CE"/>
    <w:rsid w:val="00A84A3C"/>
    <w:rsid w:val="00A87BE7"/>
    <w:rsid w:val="00A9093C"/>
    <w:rsid w:val="00A9171D"/>
    <w:rsid w:val="00A94008"/>
    <w:rsid w:val="00A94717"/>
    <w:rsid w:val="00A95331"/>
    <w:rsid w:val="00AA00D0"/>
    <w:rsid w:val="00AA0306"/>
    <w:rsid w:val="00AA1EE1"/>
    <w:rsid w:val="00AA345C"/>
    <w:rsid w:val="00AA57DE"/>
    <w:rsid w:val="00AB18AA"/>
    <w:rsid w:val="00AB76CC"/>
    <w:rsid w:val="00AB77E9"/>
    <w:rsid w:val="00AD3096"/>
    <w:rsid w:val="00AD3471"/>
    <w:rsid w:val="00AD57E2"/>
    <w:rsid w:val="00AE0444"/>
    <w:rsid w:val="00AE1F8C"/>
    <w:rsid w:val="00AE21B7"/>
    <w:rsid w:val="00AE242F"/>
    <w:rsid w:val="00AE2681"/>
    <w:rsid w:val="00AE4675"/>
    <w:rsid w:val="00AE4A84"/>
    <w:rsid w:val="00AE5661"/>
    <w:rsid w:val="00AE755A"/>
    <w:rsid w:val="00AF13A7"/>
    <w:rsid w:val="00AF1E1E"/>
    <w:rsid w:val="00AF2F26"/>
    <w:rsid w:val="00AF4E60"/>
    <w:rsid w:val="00B00DB7"/>
    <w:rsid w:val="00B02484"/>
    <w:rsid w:val="00B129AC"/>
    <w:rsid w:val="00B15D95"/>
    <w:rsid w:val="00B2071E"/>
    <w:rsid w:val="00B222CB"/>
    <w:rsid w:val="00B23F80"/>
    <w:rsid w:val="00B24315"/>
    <w:rsid w:val="00B24859"/>
    <w:rsid w:val="00B24BB6"/>
    <w:rsid w:val="00B2577C"/>
    <w:rsid w:val="00B262CB"/>
    <w:rsid w:val="00B30AB6"/>
    <w:rsid w:val="00B3154E"/>
    <w:rsid w:val="00B362A8"/>
    <w:rsid w:val="00B37091"/>
    <w:rsid w:val="00B37D9A"/>
    <w:rsid w:val="00B42415"/>
    <w:rsid w:val="00B478CC"/>
    <w:rsid w:val="00B50804"/>
    <w:rsid w:val="00B51D2E"/>
    <w:rsid w:val="00B527E3"/>
    <w:rsid w:val="00B53B56"/>
    <w:rsid w:val="00B638BC"/>
    <w:rsid w:val="00B6709D"/>
    <w:rsid w:val="00B74E8D"/>
    <w:rsid w:val="00B77F70"/>
    <w:rsid w:val="00B82DBC"/>
    <w:rsid w:val="00B83FB6"/>
    <w:rsid w:val="00B853F3"/>
    <w:rsid w:val="00B87389"/>
    <w:rsid w:val="00B9010E"/>
    <w:rsid w:val="00B9410C"/>
    <w:rsid w:val="00B94C68"/>
    <w:rsid w:val="00BA05FC"/>
    <w:rsid w:val="00BA18E5"/>
    <w:rsid w:val="00BA3302"/>
    <w:rsid w:val="00BA5821"/>
    <w:rsid w:val="00BA6BDF"/>
    <w:rsid w:val="00BA7414"/>
    <w:rsid w:val="00BA796F"/>
    <w:rsid w:val="00BB00F9"/>
    <w:rsid w:val="00BC16FF"/>
    <w:rsid w:val="00BC51CF"/>
    <w:rsid w:val="00BC6C90"/>
    <w:rsid w:val="00BC7716"/>
    <w:rsid w:val="00BD125B"/>
    <w:rsid w:val="00BD5DB7"/>
    <w:rsid w:val="00BD7E07"/>
    <w:rsid w:val="00BE3427"/>
    <w:rsid w:val="00BE45D2"/>
    <w:rsid w:val="00BF7219"/>
    <w:rsid w:val="00BF7324"/>
    <w:rsid w:val="00BF7474"/>
    <w:rsid w:val="00C062ED"/>
    <w:rsid w:val="00C07D76"/>
    <w:rsid w:val="00C07FCA"/>
    <w:rsid w:val="00C1216F"/>
    <w:rsid w:val="00C2511E"/>
    <w:rsid w:val="00C272E9"/>
    <w:rsid w:val="00C3146F"/>
    <w:rsid w:val="00C33FC7"/>
    <w:rsid w:val="00C35883"/>
    <w:rsid w:val="00C374BC"/>
    <w:rsid w:val="00C45619"/>
    <w:rsid w:val="00C45E5E"/>
    <w:rsid w:val="00C475D5"/>
    <w:rsid w:val="00C52671"/>
    <w:rsid w:val="00C52708"/>
    <w:rsid w:val="00C55A94"/>
    <w:rsid w:val="00C5658B"/>
    <w:rsid w:val="00C62455"/>
    <w:rsid w:val="00C63272"/>
    <w:rsid w:val="00C656FC"/>
    <w:rsid w:val="00C7153A"/>
    <w:rsid w:val="00C76121"/>
    <w:rsid w:val="00C8341E"/>
    <w:rsid w:val="00C84E41"/>
    <w:rsid w:val="00C86965"/>
    <w:rsid w:val="00C87040"/>
    <w:rsid w:val="00C947F1"/>
    <w:rsid w:val="00CA6442"/>
    <w:rsid w:val="00CB0A84"/>
    <w:rsid w:val="00CD4D43"/>
    <w:rsid w:val="00CD55B4"/>
    <w:rsid w:val="00CD775A"/>
    <w:rsid w:val="00CE196C"/>
    <w:rsid w:val="00CE25E4"/>
    <w:rsid w:val="00CE4959"/>
    <w:rsid w:val="00CE4FED"/>
    <w:rsid w:val="00CE5D4F"/>
    <w:rsid w:val="00CF13D3"/>
    <w:rsid w:val="00CF74BE"/>
    <w:rsid w:val="00CF7778"/>
    <w:rsid w:val="00D011F4"/>
    <w:rsid w:val="00D02CA9"/>
    <w:rsid w:val="00D0615E"/>
    <w:rsid w:val="00D12837"/>
    <w:rsid w:val="00D1429D"/>
    <w:rsid w:val="00D15B3B"/>
    <w:rsid w:val="00D251A7"/>
    <w:rsid w:val="00D3461B"/>
    <w:rsid w:val="00D465D0"/>
    <w:rsid w:val="00D46D71"/>
    <w:rsid w:val="00D50AE0"/>
    <w:rsid w:val="00D564DB"/>
    <w:rsid w:val="00D56D96"/>
    <w:rsid w:val="00D678C4"/>
    <w:rsid w:val="00D711FC"/>
    <w:rsid w:val="00D75F1B"/>
    <w:rsid w:val="00D84724"/>
    <w:rsid w:val="00D85BDD"/>
    <w:rsid w:val="00D86296"/>
    <w:rsid w:val="00D86EBA"/>
    <w:rsid w:val="00D87073"/>
    <w:rsid w:val="00D90149"/>
    <w:rsid w:val="00D921FF"/>
    <w:rsid w:val="00DA48E7"/>
    <w:rsid w:val="00DB4ECE"/>
    <w:rsid w:val="00DB6877"/>
    <w:rsid w:val="00DB691A"/>
    <w:rsid w:val="00DC0664"/>
    <w:rsid w:val="00DC5EC3"/>
    <w:rsid w:val="00DC61E3"/>
    <w:rsid w:val="00DC6419"/>
    <w:rsid w:val="00DC6436"/>
    <w:rsid w:val="00DD09E1"/>
    <w:rsid w:val="00DE2935"/>
    <w:rsid w:val="00DE5323"/>
    <w:rsid w:val="00DE70DF"/>
    <w:rsid w:val="00DF7926"/>
    <w:rsid w:val="00E010D9"/>
    <w:rsid w:val="00E01150"/>
    <w:rsid w:val="00E05230"/>
    <w:rsid w:val="00E05996"/>
    <w:rsid w:val="00E1028E"/>
    <w:rsid w:val="00E1049D"/>
    <w:rsid w:val="00E1082C"/>
    <w:rsid w:val="00E12BA7"/>
    <w:rsid w:val="00E14EB2"/>
    <w:rsid w:val="00E15797"/>
    <w:rsid w:val="00E15E3F"/>
    <w:rsid w:val="00E238B3"/>
    <w:rsid w:val="00E2394A"/>
    <w:rsid w:val="00E243FA"/>
    <w:rsid w:val="00E2521A"/>
    <w:rsid w:val="00E25900"/>
    <w:rsid w:val="00E35742"/>
    <w:rsid w:val="00E40771"/>
    <w:rsid w:val="00E410ED"/>
    <w:rsid w:val="00E477BF"/>
    <w:rsid w:val="00E47A7B"/>
    <w:rsid w:val="00E512BE"/>
    <w:rsid w:val="00E5477D"/>
    <w:rsid w:val="00E61FA9"/>
    <w:rsid w:val="00E620BD"/>
    <w:rsid w:val="00E65641"/>
    <w:rsid w:val="00E66B2B"/>
    <w:rsid w:val="00E70B6E"/>
    <w:rsid w:val="00E743C9"/>
    <w:rsid w:val="00E75F31"/>
    <w:rsid w:val="00E82348"/>
    <w:rsid w:val="00EA027D"/>
    <w:rsid w:val="00EA67D9"/>
    <w:rsid w:val="00EB313E"/>
    <w:rsid w:val="00EB63AA"/>
    <w:rsid w:val="00EB6DCD"/>
    <w:rsid w:val="00EB6E51"/>
    <w:rsid w:val="00EC0D18"/>
    <w:rsid w:val="00EC6181"/>
    <w:rsid w:val="00EC73B8"/>
    <w:rsid w:val="00ED2178"/>
    <w:rsid w:val="00EE0787"/>
    <w:rsid w:val="00EE2885"/>
    <w:rsid w:val="00EE331B"/>
    <w:rsid w:val="00EE3E0D"/>
    <w:rsid w:val="00EE4728"/>
    <w:rsid w:val="00EE4DD8"/>
    <w:rsid w:val="00EF4662"/>
    <w:rsid w:val="00F00061"/>
    <w:rsid w:val="00F06BA4"/>
    <w:rsid w:val="00F11040"/>
    <w:rsid w:val="00F15614"/>
    <w:rsid w:val="00F16247"/>
    <w:rsid w:val="00F16CF1"/>
    <w:rsid w:val="00F17E14"/>
    <w:rsid w:val="00F210D4"/>
    <w:rsid w:val="00F23AFC"/>
    <w:rsid w:val="00F25ACD"/>
    <w:rsid w:val="00F25F8B"/>
    <w:rsid w:val="00F26A89"/>
    <w:rsid w:val="00F30345"/>
    <w:rsid w:val="00F30ECB"/>
    <w:rsid w:val="00F3106B"/>
    <w:rsid w:val="00F34990"/>
    <w:rsid w:val="00F40D51"/>
    <w:rsid w:val="00F41795"/>
    <w:rsid w:val="00F50A02"/>
    <w:rsid w:val="00F51188"/>
    <w:rsid w:val="00F56B67"/>
    <w:rsid w:val="00F6140D"/>
    <w:rsid w:val="00F63BA8"/>
    <w:rsid w:val="00F63F9B"/>
    <w:rsid w:val="00F646F2"/>
    <w:rsid w:val="00F65DD5"/>
    <w:rsid w:val="00F7005E"/>
    <w:rsid w:val="00F70451"/>
    <w:rsid w:val="00F72901"/>
    <w:rsid w:val="00F744B2"/>
    <w:rsid w:val="00F7762E"/>
    <w:rsid w:val="00F831E1"/>
    <w:rsid w:val="00F86D48"/>
    <w:rsid w:val="00F95C80"/>
    <w:rsid w:val="00FA3A8D"/>
    <w:rsid w:val="00FA5070"/>
    <w:rsid w:val="00FA6602"/>
    <w:rsid w:val="00FB0609"/>
    <w:rsid w:val="00FB12DF"/>
    <w:rsid w:val="00FB1446"/>
    <w:rsid w:val="00FB4342"/>
    <w:rsid w:val="00FB4BAE"/>
    <w:rsid w:val="00FB792C"/>
    <w:rsid w:val="00FC6CF9"/>
    <w:rsid w:val="00FD2ACA"/>
    <w:rsid w:val="00FD3258"/>
    <w:rsid w:val="00FD3D9A"/>
    <w:rsid w:val="00FD4C1B"/>
    <w:rsid w:val="00FE3A87"/>
    <w:rsid w:val="00FE5D19"/>
    <w:rsid w:val="00FF30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29B466"/>
  <w15:docId w15:val="{85294A13-6C3A-4C6F-A4C3-F932D7626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38E1"/>
    <w:pPr>
      <w:tabs>
        <w:tab w:val="left" w:pos="-720"/>
      </w:tabs>
      <w:spacing w:line="360" w:lineRule="atLeast"/>
      <w:jc w:val="both"/>
    </w:pPr>
    <w:rPr>
      <w:sz w:val="20"/>
      <w:szCs w:val="20"/>
      <w:lang w:val="en-GB" w:eastAsia="fr-FR"/>
    </w:rPr>
  </w:style>
  <w:style w:type="paragraph" w:styleId="Titre1">
    <w:name w:val="heading 1"/>
    <w:basedOn w:val="Normal"/>
    <w:next w:val="Normal"/>
    <w:link w:val="Titre1Car"/>
    <w:uiPriority w:val="99"/>
    <w:qFormat/>
    <w:rsid w:val="009938E1"/>
    <w:pPr>
      <w:spacing w:before="240"/>
      <w:outlineLvl w:val="0"/>
    </w:pPr>
    <w:rPr>
      <w:rFonts w:ascii="Arial" w:hAnsi="Arial" w:cs="Arial"/>
      <w:b/>
      <w:bCs/>
      <w:sz w:val="24"/>
      <w:szCs w:val="24"/>
      <w:u w:val="single"/>
    </w:rPr>
  </w:style>
  <w:style w:type="paragraph" w:styleId="Titre2">
    <w:name w:val="heading 2"/>
    <w:basedOn w:val="Normal"/>
    <w:next w:val="Normal"/>
    <w:link w:val="Titre2Car"/>
    <w:uiPriority w:val="99"/>
    <w:qFormat/>
    <w:rsid w:val="009938E1"/>
    <w:pPr>
      <w:spacing w:before="120"/>
      <w:outlineLvl w:val="1"/>
    </w:pPr>
    <w:rPr>
      <w:rFonts w:ascii="Arial" w:hAnsi="Arial" w:cs="Arial"/>
      <w:b/>
      <w:bCs/>
      <w:sz w:val="24"/>
      <w:szCs w:val="24"/>
    </w:rPr>
  </w:style>
  <w:style w:type="paragraph" w:styleId="Titre3">
    <w:name w:val="heading 3"/>
    <w:basedOn w:val="Normal"/>
    <w:next w:val="Normal"/>
    <w:link w:val="Titre3Car"/>
    <w:uiPriority w:val="99"/>
    <w:qFormat/>
    <w:rsid w:val="009938E1"/>
    <w:pPr>
      <w:ind w:left="360"/>
      <w:outlineLvl w:val="2"/>
    </w:pPr>
    <w:rPr>
      <w:b/>
      <w:bCs/>
      <w:sz w:val="24"/>
      <w:szCs w:val="24"/>
    </w:rPr>
  </w:style>
  <w:style w:type="paragraph" w:styleId="Titre4">
    <w:name w:val="heading 4"/>
    <w:basedOn w:val="Normal"/>
    <w:next w:val="Normal"/>
    <w:link w:val="Titre4Car"/>
    <w:uiPriority w:val="99"/>
    <w:qFormat/>
    <w:rsid w:val="009938E1"/>
    <w:pPr>
      <w:ind w:left="360"/>
      <w:outlineLvl w:val="3"/>
    </w:pPr>
    <w:rPr>
      <w:sz w:val="24"/>
      <w:szCs w:val="24"/>
      <w:u w:val="single"/>
    </w:rPr>
  </w:style>
  <w:style w:type="paragraph" w:styleId="Titre5">
    <w:name w:val="heading 5"/>
    <w:basedOn w:val="Normal"/>
    <w:next w:val="Normal"/>
    <w:link w:val="Titre5Car"/>
    <w:uiPriority w:val="99"/>
    <w:qFormat/>
    <w:rsid w:val="009938E1"/>
    <w:pPr>
      <w:ind w:left="720"/>
      <w:outlineLvl w:val="4"/>
    </w:pPr>
    <w:rPr>
      <w:b/>
      <w:bCs/>
    </w:rPr>
  </w:style>
  <w:style w:type="paragraph" w:styleId="Titre6">
    <w:name w:val="heading 6"/>
    <w:basedOn w:val="Normal"/>
    <w:next w:val="Normal"/>
    <w:link w:val="Titre6Car"/>
    <w:uiPriority w:val="99"/>
    <w:qFormat/>
    <w:rsid w:val="009938E1"/>
    <w:pPr>
      <w:ind w:left="720"/>
      <w:outlineLvl w:val="5"/>
    </w:pPr>
    <w:rPr>
      <w:u w:val="single"/>
    </w:rPr>
  </w:style>
  <w:style w:type="paragraph" w:styleId="Titre7">
    <w:name w:val="heading 7"/>
    <w:basedOn w:val="Normal"/>
    <w:next w:val="Normal"/>
    <w:link w:val="Titre7Car"/>
    <w:uiPriority w:val="99"/>
    <w:qFormat/>
    <w:rsid w:val="009938E1"/>
    <w:pPr>
      <w:ind w:left="720"/>
      <w:outlineLvl w:val="6"/>
    </w:pPr>
    <w:rPr>
      <w:i/>
      <w:iCs/>
    </w:rPr>
  </w:style>
  <w:style w:type="paragraph" w:styleId="Titre8">
    <w:name w:val="heading 8"/>
    <w:basedOn w:val="Normal"/>
    <w:next w:val="Normal"/>
    <w:link w:val="Titre8Car"/>
    <w:uiPriority w:val="99"/>
    <w:qFormat/>
    <w:rsid w:val="009938E1"/>
    <w:pPr>
      <w:ind w:left="720"/>
      <w:outlineLvl w:val="7"/>
    </w:pPr>
    <w:rPr>
      <w:i/>
      <w:iCs/>
    </w:rPr>
  </w:style>
  <w:style w:type="paragraph" w:styleId="Titre9">
    <w:name w:val="heading 9"/>
    <w:basedOn w:val="Normal"/>
    <w:next w:val="Normal"/>
    <w:link w:val="Titre9Car"/>
    <w:uiPriority w:val="99"/>
    <w:qFormat/>
    <w:rsid w:val="009938E1"/>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7B0FD2"/>
    <w:rPr>
      <w:rFonts w:ascii="Cambria" w:hAnsi="Cambria" w:cs="Times New Roman"/>
      <w:b/>
      <w:bCs/>
      <w:kern w:val="32"/>
      <w:sz w:val="32"/>
      <w:szCs w:val="32"/>
      <w:lang w:val="en-GB" w:eastAsia="fr-FR"/>
    </w:rPr>
  </w:style>
  <w:style w:type="character" w:customStyle="1" w:styleId="Titre2Car">
    <w:name w:val="Titre 2 Car"/>
    <w:basedOn w:val="Policepardfaut"/>
    <w:link w:val="Titre2"/>
    <w:uiPriority w:val="99"/>
    <w:semiHidden/>
    <w:locked/>
    <w:rsid w:val="007B0FD2"/>
    <w:rPr>
      <w:rFonts w:ascii="Cambria" w:hAnsi="Cambria" w:cs="Times New Roman"/>
      <w:b/>
      <w:bCs/>
      <w:i/>
      <w:iCs/>
      <w:sz w:val="28"/>
      <w:szCs w:val="28"/>
      <w:lang w:val="en-GB" w:eastAsia="fr-FR"/>
    </w:rPr>
  </w:style>
  <w:style w:type="character" w:customStyle="1" w:styleId="Titre3Car">
    <w:name w:val="Titre 3 Car"/>
    <w:basedOn w:val="Policepardfaut"/>
    <w:link w:val="Titre3"/>
    <w:uiPriority w:val="99"/>
    <w:semiHidden/>
    <w:locked/>
    <w:rsid w:val="007B0FD2"/>
    <w:rPr>
      <w:rFonts w:ascii="Cambria" w:hAnsi="Cambria" w:cs="Times New Roman"/>
      <w:b/>
      <w:bCs/>
      <w:sz w:val="26"/>
      <w:szCs w:val="26"/>
      <w:lang w:val="en-GB" w:eastAsia="fr-FR"/>
    </w:rPr>
  </w:style>
  <w:style w:type="character" w:customStyle="1" w:styleId="Titre4Car">
    <w:name w:val="Titre 4 Car"/>
    <w:basedOn w:val="Policepardfaut"/>
    <w:link w:val="Titre4"/>
    <w:uiPriority w:val="99"/>
    <w:semiHidden/>
    <w:locked/>
    <w:rsid w:val="007B0FD2"/>
    <w:rPr>
      <w:rFonts w:ascii="Calibri" w:hAnsi="Calibri" w:cs="Times New Roman"/>
      <w:b/>
      <w:bCs/>
      <w:sz w:val="28"/>
      <w:szCs w:val="28"/>
      <w:lang w:val="en-GB" w:eastAsia="fr-FR"/>
    </w:rPr>
  </w:style>
  <w:style w:type="character" w:customStyle="1" w:styleId="Titre5Car">
    <w:name w:val="Titre 5 Car"/>
    <w:basedOn w:val="Policepardfaut"/>
    <w:link w:val="Titre5"/>
    <w:uiPriority w:val="99"/>
    <w:semiHidden/>
    <w:locked/>
    <w:rsid w:val="007B0FD2"/>
    <w:rPr>
      <w:rFonts w:ascii="Calibri" w:hAnsi="Calibri" w:cs="Times New Roman"/>
      <w:b/>
      <w:bCs/>
      <w:i/>
      <w:iCs/>
      <w:sz w:val="26"/>
      <w:szCs w:val="26"/>
      <w:lang w:val="en-GB" w:eastAsia="fr-FR"/>
    </w:rPr>
  </w:style>
  <w:style w:type="character" w:customStyle="1" w:styleId="Titre6Car">
    <w:name w:val="Titre 6 Car"/>
    <w:basedOn w:val="Policepardfaut"/>
    <w:link w:val="Titre6"/>
    <w:uiPriority w:val="99"/>
    <w:semiHidden/>
    <w:locked/>
    <w:rsid w:val="007B0FD2"/>
    <w:rPr>
      <w:rFonts w:ascii="Calibri" w:hAnsi="Calibri" w:cs="Times New Roman"/>
      <w:b/>
      <w:bCs/>
      <w:lang w:val="en-GB" w:eastAsia="fr-FR"/>
    </w:rPr>
  </w:style>
  <w:style w:type="character" w:customStyle="1" w:styleId="Titre7Car">
    <w:name w:val="Titre 7 Car"/>
    <w:basedOn w:val="Policepardfaut"/>
    <w:link w:val="Titre7"/>
    <w:uiPriority w:val="99"/>
    <w:semiHidden/>
    <w:locked/>
    <w:rsid w:val="007B0FD2"/>
    <w:rPr>
      <w:rFonts w:ascii="Calibri" w:hAnsi="Calibri" w:cs="Times New Roman"/>
      <w:sz w:val="24"/>
      <w:szCs w:val="24"/>
      <w:lang w:val="en-GB" w:eastAsia="fr-FR"/>
    </w:rPr>
  </w:style>
  <w:style w:type="character" w:customStyle="1" w:styleId="Titre8Car">
    <w:name w:val="Titre 8 Car"/>
    <w:basedOn w:val="Policepardfaut"/>
    <w:link w:val="Titre8"/>
    <w:uiPriority w:val="99"/>
    <w:semiHidden/>
    <w:locked/>
    <w:rsid w:val="007B0FD2"/>
    <w:rPr>
      <w:rFonts w:ascii="Calibri" w:hAnsi="Calibri" w:cs="Times New Roman"/>
      <w:i/>
      <w:iCs/>
      <w:sz w:val="24"/>
      <w:szCs w:val="24"/>
      <w:lang w:val="en-GB" w:eastAsia="fr-FR"/>
    </w:rPr>
  </w:style>
  <w:style w:type="character" w:customStyle="1" w:styleId="Titre9Car">
    <w:name w:val="Titre 9 Car"/>
    <w:basedOn w:val="Policepardfaut"/>
    <w:link w:val="Titre9"/>
    <w:uiPriority w:val="99"/>
    <w:semiHidden/>
    <w:locked/>
    <w:rsid w:val="007B0FD2"/>
    <w:rPr>
      <w:rFonts w:ascii="Cambria" w:hAnsi="Cambria" w:cs="Times New Roman"/>
      <w:lang w:val="en-GB" w:eastAsia="fr-FR"/>
    </w:rPr>
  </w:style>
  <w:style w:type="character" w:styleId="Numrodeligne">
    <w:name w:val="line number"/>
    <w:basedOn w:val="Policepardfaut"/>
    <w:uiPriority w:val="99"/>
    <w:rsid w:val="00143375"/>
    <w:rPr>
      <w:rFonts w:ascii="Arial" w:hAnsi="Arial" w:cs="Times New Roman"/>
      <w:sz w:val="16"/>
    </w:rPr>
  </w:style>
  <w:style w:type="paragraph" w:styleId="En-tte">
    <w:name w:val="header"/>
    <w:basedOn w:val="Normal"/>
    <w:link w:val="En-tteCar"/>
    <w:uiPriority w:val="99"/>
    <w:rsid w:val="009938E1"/>
    <w:pPr>
      <w:tabs>
        <w:tab w:val="clear" w:pos="-720"/>
        <w:tab w:val="center" w:pos="4536"/>
        <w:tab w:val="right" w:pos="9072"/>
      </w:tabs>
    </w:pPr>
  </w:style>
  <w:style w:type="character" w:customStyle="1" w:styleId="En-tteCar">
    <w:name w:val="En-tête Car"/>
    <w:basedOn w:val="Policepardfaut"/>
    <w:link w:val="En-tte"/>
    <w:uiPriority w:val="99"/>
    <w:locked/>
    <w:rsid w:val="007B0FD2"/>
    <w:rPr>
      <w:rFonts w:cs="Times New Roman"/>
      <w:sz w:val="20"/>
      <w:szCs w:val="20"/>
      <w:lang w:val="en-GB" w:eastAsia="fr-FR"/>
    </w:rPr>
  </w:style>
  <w:style w:type="paragraph" w:customStyle="1" w:styleId="notedebas">
    <w:name w:val="note de bas"/>
    <w:basedOn w:val="Normal"/>
    <w:uiPriority w:val="99"/>
    <w:rsid w:val="00242A97"/>
    <w:pPr>
      <w:widowControl w:val="0"/>
      <w:spacing w:line="240" w:lineRule="auto"/>
      <w:ind w:left="425" w:hanging="425"/>
    </w:pPr>
    <w:rPr>
      <w:rFonts w:ascii="Arial" w:hAnsi="Arial" w:cs="Arial"/>
      <w:sz w:val="16"/>
      <w:szCs w:val="16"/>
      <w:lang w:val="en-US"/>
    </w:rPr>
  </w:style>
  <w:style w:type="paragraph" w:customStyle="1" w:styleId="a">
    <w:name w:val="a)"/>
    <w:basedOn w:val="Normal"/>
    <w:uiPriority w:val="99"/>
    <w:rsid w:val="009938E1"/>
    <w:pPr>
      <w:tabs>
        <w:tab w:val="clear" w:pos="-720"/>
      </w:tabs>
      <w:spacing w:after="120" w:line="240" w:lineRule="auto"/>
      <w:ind w:left="425" w:hanging="425"/>
    </w:pPr>
    <w:rPr>
      <w:rFonts w:ascii="Ottawa" w:hAnsi="Ottawa"/>
      <w:b/>
      <w:bCs/>
    </w:rPr>
  </w:style>
  <w:style w:type="paragraph" w:customStyle="1" w:styleId="paraa">
    <w:name w:val="paraa)"/>
    <w:basedOn w:val="Normal"/>
    <w:uiPriority w:val="99"/>
    <w:rsid w:val="009938E1"/>
    <w:pPr>
      <w:spacing w:after="240" w:line="240" w:lineRule="auto"/>
      <w:ind w:left="425"/>
    </w:pPr>
    <w:rPr>
      <w:rFonts w:ascii="Arial" w:hAnsi="Arial" w:cs="Arial"/>
      <w:sz w:val="18"/>
      <w:szCs w:val="18"/>
    </w:rPr>
  </w:style>
  <w:style w:type="paragraph" w:customStyle="1" w:styleId="1">
    <w:name w:val="1"/>
    <w:basedOn w:val="para1"/>
    <w:qFormat/>
    <w:rsid w:val="009938E1"/>
    <w:pPr>
      <w:tabs>
        <w:tab w:val="clear" w:pos="-720"/>
      </w:tabs>
      <w:ind w:left="426" w:hanging="426"/>
    </w:pPr>
    <w:rPr>
      <w:rFonts w:ascii="Ottawa" w:hAnsi="Ottawa"/>
      <w:b/>
      <w:bCs/>
      <w:sz w:val="22"/>
      <w:szCs w:val="22"/>
    </w:rPr>
  </w:style>
  <w:style w:type="paragraph" w:customStyle="1" w:styleId="para1">
    <w:name w:val="para1"/>
    <w:basedOn w:val="Normal"/>
    <w:uiPriority w:val="99"/>
    <w:rsid w:val="009938E1"/>
    <w:pPr>
      <w:spacing w:after="240" w:line="240" w:lineRule="auto"/>
    </w:pPr>
    <w:rPr>
      <w:rFonts w:ascii="Arial" w:hAnsi="Arial" w:cs="Arial"/>
      <w:sz w:val="18"/>
      <w:szCs w:val="18"/>
    </w:rPr>
  </w:style>
  <w:style w:type="paragraph" w:customStyle="1" w:styleId="i">
    <w:name w:val="i)"/>
    <w:basedOn w:val="Normal"/>
    <w:qFormat/>
    <w:rsid w:val="00622046"/>
    <w:pPr>
      <w:spacing w:after="120" w:line="240" w:lineRule="auto"/>
      <w:ind w:left="1843" w:hanging="425"/>
    </w:pPr>
    <w:rPr>
      <w:rFonts w:ascii="Arial" w:hAnsi="Arial" w:cs="Arial"/>
      <w:sz w:val="18"/>
      <w:szCs w:val="18"/>
    </w:rPr>
  </w:style>
  <w:style w:type="paragraph" w:customStyle="1" w:styleId="A0">
    <w:name w:val="A"/>
    <w:basedOn w:val="Normal"/>
    <w:uiPriority w:val="99"/>
    <w:rsid w:val="008E2EEF"/>
    <w:pPr>
      <w:spacing w:after="240" w:line="240" w:lineRule="auto"/>
      <w:jc w:val="center"/>
    </w:pPr>
    <w:rPr>
      <w:rFonts w:ascii="Ottawa" w:hAnsi="Ottawa"/>
      <w:b/>
      <w:bCs/>
      <w:caps/>
      <w:sz w:val="24"/>
      <w:szCs w:val="24"/>
    </w:rPr>
  </w:style>
  <w:style w:type="paragraph" w:customStyle="1" w:styleId="Ref">
    <w:name w:val="Ref."/>
    <w:basedOn w:val="Normal"/>
    <w:uiPriority w:val="99"/>
    <w:rsid w:val="009B4CBE"/>
    <w:pPr>
      <w:spacing w:after="240" w:line="240" w:lineRule="auto"/>
    </w:pPr>
    <w:rPr>
      <w:rFonts w:ascii="Arial" w:hAnsi="Arial" w:cs="Arial"/>
      <w:sz w:val="18"/>
      <w:szCs w:val="18"/>
    </w:rPr>
  </w:style>
  <w:style w:type="paragraph" w:customStyle="1" w:styleId="sumtexte">
    <w:name w:val="sumtexte"/>
    <w:basedOn w:val="Normal"/>
    <w:uiPriority w:val="99"/>
    <w:rsid w:val="009938E1"/>
    <w:pPr>
      <w:spacing w:after="120" w:line="240" w:lineRule="exact"/>
      <w:ind w:left="567" w:right="567"/>
    </w:pPr>
    <w:rPr>
      <w:rFonts w:ascii="Arial" w:hAnsi="Arial" w:cs="Arial"/>
      <w:i/>
      <w:iCs/>
      <w:sz w:val="18"/>
      <w:szCs w:val="18"/>
    </w:rPr>
  </w:style>
  <w:style w:type="paragraph" w:customStyle="1" w:styleId="paraA0">
    <w:name w:val="paraA"/>
    <w:basedOn w:val="Normal"/>
    <w:rsid w:val="009938E1"/>
    <w:pPr>
      <w:spacing w:after="240" w:line="240" w:lineRule="auto"/>
    </w:pPr>
    <w:rPr>
      <w:rFonts w:ascii="Arial" w:hAnsi="Arial" w:cs="Arial"/>
      <w:sz w:val="18"/>
      <w:szCs w:val="18"/>
    </w:rPr>
  </w:style>
  <w:style w:type="paragraph" w:customStyle="1" w:styleId="TITRE">
    <w:name w:val="TITRE"/>
    <w:basedOn w:val="Normal"/>
    <w:uiPriority w:val="99"/>
    <w:rsid w:val="009938E1"/>
    <w:pPr>
      <w:spacing w:after="240"/>
      <w:jc w:val="center"/>
    </w:pPr>
    <w:rPr>
      <w:b/>
      <w:bCs/>
      <w:caps/>
    </w:rPr>
  </w:style>
  <w:style w:type="paragraph" w:styleId="Pieddepage">
    <w:name w:val="footer"/>
    <w:basedOn w:val="Normal"/>
    <w:link w:val="PieddepageCar"/>
    <w:uiPriority w:val="99"/>
    <w:rsid w:val="009938E1"/>
    <w:pPr>
      <w:tabs>
        <w:tab w:val="clear" w:pos="-720"/>
        <w:tab w:val="center" w:pos="4536"/>
        <w:tab w:val="right" w:pos="9072"/>
      </w:tabs>
    </w:pPr>
  </w:style>
  <w:style w:type="character" w:customStyle="1" w:styleId="PieddepageCar">
    <w:name w:val="Pied de page Car"/>
    <w:basedOn w:val="Policepardfaut"/>
    <w:link w:val="Pieddepage"/>
    <w:uiPriority w:val="99"/>
    <w:semiHidden/>
    <w:locked/>
    <w:rsid w:val="007B0FD2"/>
    <w:rPr>
      <w:rFonts w:cs="Times New Roman"/>
      <w:sz w:val="20"/>
      <w:szCs w:val="20"/>
      <w:lang w:val="en-GB" w:eastAsia="fr-FR"/>
    </w:rPr>
  </w:style>
  <w:style w:type="paragraph" w:styleId="Notedebasdepage">
    <w:name w:val="footnote text"/>
    <w:basedOn w:val="Normal"/>
    <w:link w:val="NotedebasdepageCar"/>
    <w:uiPriority w:val="99"/>
    <w:rsid w:val="009938E1"/>
  </w:style>
  <w:style w:type="character" w:customStyle="1" w:styleId="NotedebasdepageCar">
    <w:name w:val="Note de bas de page Car"/>
    <w:basedOn w:val="Policepardfaut"/>
    <w:link w:val="Notedebasdepage"/>
    <w:uiPriority w:val="99"/>
    <w:locked/>
    <w:rsid w:val="007B0FD2"/>
    <w:rPr>
      <w:rFonts w:cs="Times New Roman"/>
      <w:sz w:val="20"/>
      <w:szCs w:val="20"/>
      <w:lang w:val="en-GB" w:eastAsia="fr-FR"/>
    </w:rPr>
  </w:style>
  <w:style w:type="character" w:styleId="Appelnotedebasdep">
    <w:name w:val="footnote reference"/>
    <w:basedOn w:val="Policepardfaut"/>
    <w:uiPriority w:val="99"/>
    <w:rsid w:val="009938E1"/>
    <w:rPr>
      <w:rFonts w:cs="Times New Roman"/>
      <w:vertAlign w:val="superscript"/>
    </w:rPr>
  </w:style>
  <w:style w:type="paragraph" w:customStyle="1" w:styleId="sumtextelastpara">
    <w:name w:val="sumtexte last para"/>
    <w:basedOn w:val="sumtexte"/>
    <w:uiPriority w:val="99"/>
    <w:rsid w:val="00242A97"/>
    <w:pPr>
      <w:spacing w:after="480"/>
    </w:pPr>
  </w:style>
  <w:style w:type="paragraph" w:customStyle="1" w:styleId="b">
    <w:name w:val="b)"/>
    <w:basedOn w:val="Normal"/>
    <w:uiPriority w:val="99"/>
    <w:rsid w:val="00242A97"/>
    <w:pPr>
      <w:spacing w:after="120" w:line="240" w:lineRule="auto"/>
      <w:ind w:left="850" w:hanging="425"/>
    </w:pPr>
    <w:rPr>
      <w:rFonts w:ascii="Ottawa" w:hAnsi="Ottawa"/>
      <w:b/>
      <w:sz w:val="18"/>
    </w:rPr>
  </w:style>
  <w:style w:type="paragraph" w:customStyle="1" w:styleId="ipara">
    <w:name w:val="i_para"/>
    <w:basedOn w:val="i"/>
    <w:uiPriority w:val="99"/>
    <w:rsid w:val="00242A97"/>
    <w:pPr>
      <w:spacing w:line="200" w:lineRule="exact"/>
      <w:ind w:left="851" w:firstLine="0"/>
    </w:pPr>
  </w:style>
  <w:style w:type="paragraph" w:customStyle="1" w:styleId="iparalast">
    <w:name w:val="i_para_last"/>
    <w:basedOn w:val="i"/>
    <w:uiPriority w:val="99"/>
    <w:rsid w:val="00242A97"/>
    <w:pPr>
      <w:spacing w:after="240" w:line="200" w:lineRule="exact"/>
    </w:pPr>
  </w:style>
  <w:style w:type="paragraph" w:customStyle="1" w:styleId="Referencetitle">
    <w:name w:val="Reference_title"/>
    <w:basedOn w:val="Normal"/>
    <w:uiPriority w:val="99"/>
    <w:rsid w:val="005F0A04"/>
    <w:pPr>
      <w:widowControl w:val="0"/>
      <w:tabs>
        <w:tab w:val="left" w:pos="2410"/>
      </w:tabs>
      <w:spacing w:after="240" w:line="240" w:lineRule="auto"/>
      <w:jc w:val="center"/>
    </w:pPr>
    <w:rPr>
      <w:rFonts w:ascii="Ottawa" w:hAnsi="Ottawa"/>
      <w:b/>
      <w:sz w:val="22"/>
    </w:rPr>
  </w:style>
  <w:style w:type="paragraph" w:customStyle="1" w:styleId="rtoiles">
    <w:name w:val="r_étoiles"/>
    <w:basedOn w:val="Normal"/>
    <w:next w:val="Normal"/>
    <w:uiPriority w:val="99"/>
    <w:rsid w:val="00C63272"/>
    <w:pPr>
      <w:keepLines/>
      <w:tabs>
        <w:tab w:val="clear" w:pos="-720"/>
      </w:tabs>
      <w:spacing w:before="240" w:after="240" w:line="240" w:lineRule="atLeast"/>
      <w:jc w:val="center"/>
    </w:pPr>
    <w:rPr>
      <w:lang w:val="fr-FR"/>
    </w:rPr>
  </w:style>
  <w:style w:type="paragraph" w:styleId="Textedebulles">
    <w:name w:val="Balloon Text"/>
    <w:basedOn w:val="Normal"/>
    <w:link w:val="TextedebullesCar"/>
    <w:uiPriority w:val="99"/>
    <w:semiHidden/>
    <w:rsid w:val="001532C6"/>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7B0FD2"/>
    <w:rPr>
      <w:rFonts w:cs="Times New Roman"/>
      <w:sz w:val="2"/>
      <w:lang w:val="en-GB" w:eastAsia="fr-FR"/>
    </w:rPr>
  </w:style>
  <w:style w:type="paragraph" w:styleId="PrformatHTML">
    <w:name w:val="HTML Preformatted"/>
    <w:basedOn w:val="Normal"/>
    <w:link w:val="PrformatHTMLCar"/>
    <w:uiPriority w:val="99"/>
    <w:rsid w:val="00EA027D"/>
    <w:p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lang w:val="de-DE" w:eastAsia="de-DE"/>
    </w:rPr>
  </w:style>
  <w:style w:type="character" w:customStyle="1" w:styleId="PrformatHTMLCar">
    <w:name w:val="Préformaté HTML Car"/>
    <w:basedOn w:val="Policepardfaut"/>
    <w:link w:val="PrformatHTML"/>
    <w:uiPriority w:val="99"/>
    <w:semiHidden/>
    <w:locked/>
    <w:rsid w:val="007B0FD2"/>
    <w:rPr>
      <w:rFonts w:ascii="Courier New" w:hAnsi="Courier New" w:cs="Courier New"/>
      <w:sz w:val="20"/>
      <w:szCs w:val="20"/>
      <w:lang w:val="en-GB" w:eastAsia="fr-FR"/>
    </w:rPr>
  </w:style>
  <w:style w:type="character" w:customStyle="1" w:styleId="style1">
    <w:name w:val="style1"/>
    <w:basedOn w:val="Policepardfaut"/>
    <w:uiPriority w:val="99"/>
    <w:rsid w:val="00917C79"/>
    <w:rPr>
      <w:rFonts w:cs="Times New Roman"/>
    </w:rPr>
  </w:style>
  <w:style w:type="character" w:styleId="Marquedecommentaire">
    <w:name w:val="annotation reference"/>
    <w:basedOn w:val="Policepardfaut"/>
    <w:uiPriority w:val="99"/>
    <w:semiHidden/>
    <w:rsid w:val="00E01150"/>
    <w:rPr>
      <w:rFonts w:cs="Times New Roman"/>
      <w:sz w:val="16"/>
    </w:rPr>
  </w:style>
  <w:style w:type="paragraph" w:styleId="Commentaire">
    <w:name w:val="annotation text"/>
    <w:basedOn w:val="Normal"/>
    <w:link w:val="CommentaireCar"/>
    <w:uiPriority w:val="99"/>
    <w:semiHidden/>
    <w:rsid w:val="00E01150"/>
  </w:style>
  <w:style w:type="character" w:customStyle="1" w:styleId="CommentaireCar">
    <w:name w:val="Commentaire Car"/>
    <w:basedOn w:val="Policepardfaut"/>
    <w:link w:val="Commentaire"/>
    <w:uiPriority w:val="99"/>
    <w:semiHidden/>
    <w:locked/>
    <w:rsid w:val="007B0FD2"/>
    <w:rPr>
      <w:rFonts w:cs="Times New Roman"/>
      <w:sz w:val="20"/>
      <w:szCs w:val="20"/>
      <w:lang w:val="en-GB" w:eastAsia="fr-FR"/>
    </w:rPr>
  </w:style>
  <w:style w:type="paragraph" w:styleId="Objetducommentaire">
    <w:name w:val="annotation subject"/>
    <w:basedOn w:val="Commentaire"/>
    <w:next w:val="Commentaire"/>
    <w:link w:val="ObjetducommentaireCar"/>
    <w:uiPriority w:val="99"/>
    <w:semiHidden/>
    <w:rsid w:val="00E01150"/>
    <w:rPr>
      <w:b/>
      <w:bCs/>
    </w:rPr>
  </w:style>
  <w:style w:type="character" w:customStyle="1" w:styleId="ObjetducommentaireCar">
    <w:name w:val="Objet du commentaire Car"/>
    <w:basedOn w:val="CommentaireCar"/>
    <w:link w:val="Objetducommentaire"/>
    <w:uiPriority w:val="99"/>
    <w:semiHidden/>
    <w:locked/>
    <w:rsid w:val="007B0FD2"/>
    <w:rPr>
      <w:rFonts w:cs="Times New Roman"/>
      <w:b/>
      <w:bCs/>
      <w:sz w:val="20"/>
      <w:szCs w:val="20"/>
      <w:lang w:val="en-GB" w:eastAsia="fr-FR"/>
    </w:rPr>
  </w:style>
  <w:style w:type="character" w:styleId="Lienhypertexte">
    <w:name w:val="Hyperlink"/>
    <w:basedOn w:val="Policepardfaut"/>
    <w:uiPriority w:val="99"/>
    <w:rsid w:val="00BC51CF"/>
    <w:rPr>
      <w:rFonts w:cs="Times New Roman"/>
      <w:color w:val="0033CC"/>
      <w:u w:val="single"/>
    </w:rPr>
  </w:style>
  <w:style w:type="character" w:customStyle="1" w:styleId="highlight">
    <w:name w:val="highlight"/>
    <w:basedOn w:val="Policepardfaut"/>
    <w:rsid w:val="00923DE3"/>
    <w:rPr>
      <w:rFonts w:cs="Times New Roman"/>
    </w:rPr>
  </w:style>
  <w:style w:type="table" w:styleId="Grilledutableau">
    <w:name w:val="Table Grid"/>
    <w:basedOn w:val="TableauNormal"/>
    <w:uiPriority w:val="99"/>
    <w:rsid w:val="00E47A7B"/>
    <w:pPr>
      <w:tabs>
        <w:tab w:val="left" w:pos="-720"/>
      </w:tabs>
      <w:spacing w:line="360" w:lineRule="atLeast"/>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labnote">
    <w:name w:val="Ref_lab_note"/>
    <w:basedOn w:val="Normal"/>
    <w:link w:val="ReflabnoteCar"/>
    <w:uiPriority w:val="99"/>
    <w:rsid w:val="00080B52"/>
    <w:pPr>
      <w:tabs>
        <w:tab w:val="clear" w:pos="-720"/>
      </w:tabs>
      <w:spacing w:before="120" w:after="120" w:line="240" w:lineRule="auto"/>
      <w:jc w:val="center"/>
    </w:pPr>
    <w:rPr>
      <w:rFonts w:ascii="Arial" w:hAnsi="Arial"/>
      <w:sz w:val="18"/>
    </w:rPr>
  </w:style>
  <w:style w:type="character" w:customStyle="1" w:styleId="ReflabnoteCar">
    <w:name w:val="Ref_lab_note Car"/>
    <w:link w:val="Reflabnote"/>
    <w:uiPriority w:val="99"/>
    <w:locked/>
    <w:rsid w:val="00080B52"/>
    <w:rPr>
      <w:rFonts w:ascii="Arial" w:hAnsi="Arial"/>
      <w:sz w:val="18"/>
      <w:lang w:val="en-GB" w:eastAsia="fr-FR"/>
    </w:rPr>
  </w:style>
  <w:style w:type="paragraph" w:customStyle="1" w:styleId="TableHead">
    <w:name w:val="Table Head"/>
    <w:basedOn w:val="Normal"/>
    <w:uiPriority w:val="99"/>
    <w:rsid w:val="006B363B"/>
    <w:pPr>
      <w:tabs>
        <w:tab w:val="clear" w:pos="-720"/>
      </w:tabs>
      <w:spacing w:before="120" w:after="120" w:line="240" w:lineRule="auto"/>
      <w:jc w:val="center"/>
    </w:pPr>
    <w:rPr>
      <w:rFonts w:ascii="Ottawa" w:hAnsi="Ottawa"/>
      <w:b/>
      <w:bCs/>
      <w:sz w:val="18"/>
      <w:szCs w:val="22"/>
      <w:lang w:val="en-IE" w:eastAsia="en-US"/>
    </w:rPr>
  </w:style>
  <w:style w:type="paragraph" w:customStyle="1" w:styleId="Tabletext">
    <w:name w:val="Table text"/>
    <w:basedOn w:val="Normal"/>
    <w:uiPriority w:val="99"/>
    <w:rsid w:val="006B363B"/>
    <w:pPr>
      <w:tabs>
        <w:tab w:val="clear" w:pos="-720"/>
      </w:tabs>
      <w:spacing w:before="120" w:after="120" w:line="240" w:lineRule="auto"/>
      <w:jc w:val="center"/>
    </w:pPr>
    <w:rPr>
      <w:rFonts w:ascii="Arial" w:hAnsi="Arial" w:cs="Arial"/>
      <w:bCs/>
      <w:sz w:val="18"/>
      <w:szCs w:val="22"/>
      <w:lang w:val="en-IE" w:eastAsia="en-US"/>
    </w:rPr>
  </w:style>
  <w:style w:type="paragraph" w:customStyle="1" w:styleId="Tabletitle">
    <w:name w:val="Table title"/>
    <w:basedOn w:val="Normal"/>
    <w:autoRedefine/>
    <w:uiPriority w:val="99"/>
    <w:rsid w:val="00633A77"/>
    <w:pPr>
      <w:tabs>
        <w:tab w:val="clear" w:pos="-720"/>
      </w:tabs>
      <w:spacing w:after="120" w:line="240" w:lineRule="auto"/>
      <w:jc w:val="center"/>
    </w:pPr>
    <w:rPr>
      <w:rFonts w:ascii="Ottawa" w:hAnsi="Ottawa" w:cs="Calibri"/>
      <w:b/>
      <w:bCs/>
      <w:i/>
      <w:sz w:val="18"/>
      <w:szCs w:val="22"/>
      <w:lang w:eastAsia="en-US"/>
    </w:rPr>
  </w:style>
  <w:style w:type="paragraph" w:styleId="Textebrut">
    <w:name w:val="Plain Text"/>
    <w:basedOn w:val="Normal"/>
    <w:link w:val="TextebrutCar"/>
    <w:uiPriority w:val="99"/>
    <w:unhideWhenUsed/>
    <w:locked/>
    <w:rsid w:val="0035203B"/>
    <w:pPr>
      <w:tabs>
        <w:tab w:val="clear" w:pos="-720"/>
      </w:tabs>
      <w:spacing w:line="240" w:lineRule="auto"/>
      <w:jc w:val="left"/>
    </w:pPr>
    <w:rPr>
      <w:rFonts w:ascii="Calibri" w:eastAsiaTheme="minorHAnsi" w:hAnsi="Calibri" w:cstheme="minorBidi"/>
      <w:sz w:val="22"/>
      <w:szCs w:val="21"/>
      <w:lang w:eastAsia="en-US"/>
    </w:rPr>
  </w:style>
  <w:style w:type="character" w:customStyle="1" w:styleId="TextebrutCar">
    <w:name w:val="Texte brut Car"/>
    <w:basedOn w:val="Policepardfaut"/>
    <w:link w:val="Textebrut"/>
    <w:uiPriority w:val="99"/>
    <w:rsid w:val="0035203B"/>
    <w:rPr>
      <w:rFonts w:ascii="Calibri" w:eastAsiaTheme="minorHAnsi" w:hAnsi="Calibri" w:cstheme="minorBidi"/>
      <w:szCs w:val="21"/>
      <w:lang w:val="en-GB" w:eastAsia="en-US"/>
    </w:rPr>
  </w:style>
  <w:style w:type="paragraph" w:styleId="Corpsdetexte">
    <w:name w:val="Body Text"/>
    <w:basedOn w:val="Normal"/>
    <w:link w:val="CorpsdetexteCar"/>
    <w:locked/>
    <w:rsid w:val="00A3708E"/>
    <w:pPr>
      <w:widowControl w:val="0"/>
      <w:tabs>
        <w:tab w:val="clear" w:pos="-720"/>
      </w:tabs>
      <w:spacing w:line="240" w:lineRule="auto"/>
      <w:jc w:val="left"/>
    </w:pPr>
    <w:rPr>
      <w:sz w:val="24"/>
      <w:szCs w:val="24"/>
    </w:rPr>
  </w:style>
  <w:style w:type="character" w:customStyle="1" w:styleId="CorpsdetexteCar">
    <w:name w:val="Corps de texte Car"/>
    <w:basedOn w:val="Policepardfaut"/>
    <w:link w:val="Corpsdetexte"/>
    <w:rsid w:val="00A3708E"/>
    <w:rPr>
      <w:sz w:val="24"/>
      <w:szCs w:val="24"/>
      <w:lang w:val="en-GB" w:eastAsia="fr-FR"/>
    </w:rPr>
  </w:style>
  <w:style w:type="character" w:customStyle="1" w:styleId="addmd1">
    <w:name w:val="addmd1"/>
    <w:basedOn w:val="Policepardfaut"/>
    <w:rsid w:val="005E17EC"/>
    <w:rPr>
      <w:sz w:val="20"/>
      <w:szCs w:val="20"/>
    </w:rPr>
  </w:style>
  <w:style w:type="paragraph" w:styleId="Paragraphedeliste">
    <w:name w:val="List Paragraph"/>
    <w:basedOn w:val="Normal"/>
    <w:uiPriority w:val="99"/>
    <w:qFormat/>
    <w:rsid w:val="00995351"/>
    <w:pPr>
      <w:tabs>
        <w:tab w:val="clear" w:pos="-720"/>
      </w:tabs>
      <w:spacing w:after="200" w:line="276" w:lineRule="auto"/>
      <w:ind w:left="720"/>
      <w:contextualSpacing/>
      <w:jc w:val="left"/>
    </w:pPr>
    <w:rPr>
      <w:rFonts w:asciiTheme="minorHAnsi" w:eastAsiaTheme="minorEastAsia" w:hAnsiTheme="minorHAnsi" w:cstheme="minorBidi"/>
      <w:sz w:val="22"/>
      <w:szCs w:val="22"/>
      <w:lang w:val="en-US" w:eastAsia="en-US"/>
    </w:rPr>
  </w:style>
  <w:style w:type="paragraph" w:customStyle="1" w:styleId="A1">
    <w:name w:val="A1"/>
    <w:basedOn w:val="Titre1"/>
    <w:qFormat/>
    <w:rsid w:val="00622046"/>
    <w:pPr>
      <w:tabs>
        <w:tab w:val="clear" w:pos="-720"/>
      </w:tabs>
      <w:spacing w:before="0" w:after="240" w:line="240" w:lineRule="auto"/>
      <w:ind w:left="425" w:hanging="425"/>
      <w:jc w:val="left"/>
    </w:pPr>
    <w:rPr>
      <w:rFonts w:ascii="Ottawa" w:eastAsiaTheme="majorEastAsia" w:hAnsi="Ottawa"/>
      <w:sz w:val="22"/>
      <w:szCs w:val="28"/>
      <w:u w:val="none"/>
      <w:lang w:eastAsia="en-US"/>
    </w:rPr>
  </w:style>
  <w:style w:type="paragraph" w:customStyle="1" w:styleId="1Para">
    <w:name w:val="1_Para"/>
    <w:basedOn w:val="Normal"/>
    <w:qFormat/>
    <w:rsid w:val="00622046"/>
    <w:pPr>
      <w:tabs>
        <w:tab w:val="clear" w:pos="-720"/>
      </w:tabs>
      <w:spacing w:after="240" w:line="240" w:lineRule="auto"/>
    </w:pPr>
    <w:rPr>
      <w:rFonts w:ascii="Arial" w:eastAsiaTheme="minorHAnsi" w:hAnsi="Arial" w:cs="Arial"/>
      <w:sz w:val="18"/>
      <w:szCs w:val="18"/>
      <w:lang w:eastAsia="en-US"/>
    </w:rPr>
  </w:style>
  <w:style w:type="paragraph" w:customStyle="1" w:styleId="11">
    <w:name w:val="1.1"/>
    <w:basedOn w:val="Normal"/>
    <w:qFormat/>
    <w:rsid w:val="00622046"/>
    <w:pPr>
      <w:tabs>
        <w:tab w:val="clear" w:pos="-720"/>
      </w:tabs>
      <w:spacing w:after="240" w:line="240" w:lineRule="auto"/>
      <w:ind w:left="850" w:hanging="425"/>
      <w:jc w:val="left"/>
    </w:pPr>
    <w:rPr>
      <w:rFonts w:ascii="Ottawa" w:eastAsiaTheme="minorHAnsi" w:hAnsi="Ottawa" w:cs="Arial"/>
      <w:b/>
      <w:szCs w:val="22"/>
      <w:lang w:eastAsia="en-US"/>
    </w:rPr>
  </w:style>
  <w:style w:type="paragraph" w:customStyle="1" w:styleId="11Para">
    <w:name w:val="1.1_Para"/>
    <w:basedOn w:val="Normal"/>
    <w:qFormat/>
    <w:rsid w:val="00622046"/>
    <w:pPr>
      <w:tabs>
        <w:tab w:val="clear" w:pos="-720"/>
      </w:tabs>
      <w:spacing w:after="240" w:line="240" w:lineRule="auto"/>
      <w:ind w:left="851"/>
    </w:pPr>
    <w:rPr>
      <w:rFonts w:ascii="Arial" w:eastAsiaTheme="minorHAnsi" w:hAnsi="Arial" w:cs="Arial"/>
      <w:sz w:val="18"/>
      <w:szCs w:val="18"/>
      <w:lang w:eastAsia="en-US"/>
    </w:rPr>
  </w:style>
  <w:style w:type="paragraph" w:customStyle="1" w:styleId="111">
    <w:name w:val="1.1.1"/>
    <w:basedOn w:val="Normal"/>
    <w:qFormat/>
    <w:rsid w:val="00622046"/>
    <w:pPr>
      <w:tabs>
        <w:tab w:val="clear" w:pos="-720"/>
      </w:tabs>
      <w:spacing w:after="120" w:line="240" w:lineRule="auto"/>
      <w:ind w:left="1418" w:hanging="567"/>
      <w:jc w:val="left"/>
    </w:pPr>
    <w:rPr>
      <w:rFonts w:ascii="Ottawa" w:eastAsiaTheme="minorHAnsi" w:hAnsi="Ottawa" w:cs="Arial"/>
      <w:b/>
      <w:sz w:val="19"/>
      <w:lang w:eastAsia="en-US"/>
    </w:rPr>
  </w:style>
  <w:style w:type="paragraph" w:customStyle="1" w:styleId="111Para">
    <w:name w:val="1.1.1_Para"/>
    <w:basedOn w:val="Normal"/>
    <w:qFormat/>
    <w:rsid w:val="00622046"/>
    <w:pPr>
      <w:tabs>
        <w:tab w:val="clear" w:pos="-720"/>
      </w:tabs>
      <w:spacing w:after="240" w:line="240" w:lineRule="auto"/>
      <w:ind w:left="1418"/>
    </w:pPr>
    <w:rPr>
      <w:rFonts w:ascii="Arial" w:eastAsiaTheme="minorHAnsi" w:hAnsi="Arial" w:cs="Arial"/>
      <w:sz w:val="18"/>
      <w:szCs w:val="18"/>
      <w:lang w:eastAsia="en-US"/>
    </w:rPr>
  </w:style>
  <w:style w:type="paragraph" w:customStyle="1" w:styleId="ilast">
    <w:name w:val="i)_last"/>
    <w:basedOn w:val="Normal"/>
    <w:qFormat/>
    <w:rsid w:val="00622046"/>
    <w:pPr>
      <w:tabs>
        <w:tab w:val="clear" w:pos="-720"/>
      </w:tabs>
      <w:spacing w:after="240" w:line="240" w:lineRule="auto"/>
      <w:ind w:left="1843" w:hanging="425"/>
      <w:jc w:val="left"/>
    </w:pPr>
    <w:rPr>
      <w:rFonts w:ascii="Arial" w:eastAsiaTheme="minorHAnsi" w:hAnsi="Arial" w:cs="Arial"/>
      <w:sz w:val="18"/>
      <w:szCs w:val="18"/>
      <w:lang w:eastAsia="en-US"/>
    </w:rPr>
  </w:style>
  <w:style w:type="paragraph" w:customStyle="1" w:styleId="afourthlevel">
    <w:name w:val="a)_fourth_level"/>
    <w:basedOn w:val="Normal"/>
    <w:qFormat/>
    <w:rsid w:val="00622046"/>
    <w:pPr>
      <w:tabs>
        <w:tab w:val="clear" w:pos="-720"/>
      </w:tabs>
      <w:spacing w:after="120" w:line="240" w:lineRule="auto"/>
      <w:ind w:left="1843" w:hanging="425"/>
      <w:jc w:val="left"/>
    </w:pPr>
    <w:rPr>
      <w:rFonts w:ascii="Ottawa" w:eastAsiaTheme="minorHAnsi" w:hAnsi="Ottawa" w:cs="Arial"/>
      <w:b/>
      <w:sz w:val="18"/>
      <w:lang w:eastAsia="en-US"/>
    </w:rPr>
  </w:style>
  <w:style w:type="paragraph" w:customStyle="1" w:styleId="afourthpara">
    <w:name w:val="a)_fourth_para"/>
    <w:basedOn w:val="Normal"/>
    <w:qFormat/>
    <w:rsid w:val="00622046"/>
    <w:pPr>
      <w:tabs>
        <w:tab w:val="clear" w:pos="-720"/>
      </w:tabs>
      <w:spacing w:after="240" w:line="240" w:lineRule="auto"/>
      <w:ind w:left="1843"/>
    </w:pPr>
    <w:rPr>
      <w:rFonts w:ascii="Arial" w:eastAsiaTheme="minorHAnsi" w:hAnsi="Arial" w:cs="Arial"/>
      <w:sz w:val="18"/>
      <w:szCs w:val="18"/>
      <w:lang w:eastAsia="en-US"/>
    </w:rPr>
  </w:style>
  <w:style w:type="paragraph" w:customStyle="1" w:styleId="ififthlevel">
    <w:name w:val="i)_fifth_level"/>
    <w:basedOn w:val="Normal"/>
    <w:qFormat/>
    <w:rsid w:val="00622046"/>
    <w:pPr>
      <w:tabs>
        <w:tab w:val="clear" w:pos="-720"/>
      </w:tabs>
      <w:spacing w:after="120" w:line="240" w:lineRule="auto"/>
      <w:ind w:left="2268" w:hanging="425"/>
      <w:jc w:val="left"/>
    </w:pPr>
    <w:rPr>
      <w:rFonts w:ascii="Ottawa" w:eastAsiaTheme="minorHAnsi" w:hAnsi="Ottawa" w:cs="Arial"/>
      <w:b/>
      <w:sz w:val="17"/>
      <w:szCs w:val="18"/>
      <w:lang w:eastAsia="en-US"/>
    </w:rPr>
  </w:style>
  <w:style w:type="paragraph" w:customStyle="1" w:styleId="ififthpara">
    <w:name w:val="i)_fifth_para"/>
    <w:basedOn w:val="Normal"/>
    <w:qFormat/>
    <w:rsid w:val="00622046"/>
    <w:pPr>
      <w:tabs>
        <w:tab w:val="clear" w:pos="-720"/>
      </w:tabs>
      <w:spacing w:after="240" w:line="240" w:lineRule="auto"/>
      <w:ind w:left="2268"/>
    </w:pPr>
    <w:rPr>
      <w:rFonts w:ascii="Arial" w:eastAsiaTheme="minorHAnsi" w:hAnsi="Arial" w:cs="Arial"/>
      <w:sz w:val="18"/>
      <w:szCs w:val="18"/>
      <w:lang w:eastAsia="en-US"/>
    </w:rPr>
  </w:style>
  <w:style w:type="paragraph" w:customStyle="1" w:styleId="dotsixthlevel">
    <w:name w:val="dot_sixth_level"/>
    <w:basedOn w:val="Normal"/>
    <w:qFormat/>
    <w:rsid w:val="00622046"/>
    <w:pPr>
      <w:tabs>
        <w:tab w:val="clear" w:pos="-720"/>
      </w:tabs>
      <w:spacing w:after="120" w:line="240" w:lineRule="auto"/>
      <w:ind w:left="2268" w:hanging="425"/>
      <w:jc w:val="left"/>
    </w:pPr>
    <w:rPr>
      <w:rFonts w:ascii="Arial" w:eastAsiaTheme="minorHAnsi" w:hAnsi="Arial" w:cs="Arial"/>
      <w:sz w:val="18"/>
      <w:szCs w:val="18"/>
      <w:lang w:eastAsia="en-US"/>
    </w:rPr>
  </w:style>
  <w:style w:type="paragraph" w:customStyle="1" w:styleId="dotsixthpara">
    <w:name w:val="dot_sixth_para"/>
    <w:basedOn w:val="Normal"/>
    <w:qFormat/>
    <w:rsid w:val="00622046"/>
    <w:pPr>
      <w:tabs>
        <w:tab w:val="clear" w:pos="-720"/>
      </w:tabs>
      <w:spacing w:after="240" w:line="240" w:lineRule="auto"/>
      <w:ind w:left="2268"/>
    </w:pPr>
    <w:rPr>
      <w:rFonts w:ascii="Arial" w:eastAsiaTheme="minorHAnsi" w:hAnsi="Arial" w:cs="Arial"/>
      <w:sz w:val="18"/>
      <w:szCs w:val="18"/>
      <w:lang w:eastAsia="en-US"/>
    </w:rPr>
  </w:style>
  <w:style w:type="paragraph" w:customStyle="1" w:styleId="ififthlevellist">
    <w:name w:val="i_fifth_level_list"/>
    <w:basedOn w:val="ififthpara"/>
    <w:qFormat/>
    <w:rsid w:val="00622046"/>
    <w:pPr>
      <w:spacing w:after="120"/>
      <w:ind w:hanging="425"/>
    </w:pPr>
  </w:style>
  <w:style w:type="character" w:styleId="Lienhypertextesuivivisit">
    <w:name w:val="FollowedHyperlink"/>
    <w:basedOn w:val="Policepardfaut"/>
    <w:uiPriority w:val="99"/>
    <w:semiHidden/>
    <w:unhideWhenUsed/>
    <w:locked/>
    <w:rsid w:val="003227F0"/>
    <w:rPr>
      <w:color w:val="800080" w:themeColor="followedHyperlink"/>
      <w:u w:val="single"/>
    </w:rPr>
  </w:style>
  <w:style w:type="paragraph" w:customStyle="1" w:styleId="ioneoff">
    <w:name w:val="i_oneoff"/>
    <w:basedOn w:val="i"/>
    <w:qFormat/>
    <w:rsid w:val="00B24315"/>
    <w:pPr>
      <w:ind w:left="850"/>
    </w:pPr>
    <w:rPr>
      <w:iCs/>
    </w:rPr>
  </w:style>
  <w:style w:type="paragraph" w:customStyle="1" w:styleId="iioneoff">
    <w:name w:val="ii_oneoff"/>
    <w:basedOn w:val="ioneoff"/>
    <w:qFormat/>
    <w:rsid w:val="00B24315"/>
    <w:pPr>
      <w:ind w:left="1276"/>
    </w:pPr>
  </w:style>
  <w:style w:type="character" w:customStyle="1" w:styleId="tgc">
    <w:name w:val="_tgc"/>
    <w:basedOn w:val="Policepardfaut"/>
    <w:rsid w:val="00A01B27"/>
  </w:style>
  <w:style w:type="paragraph" w:customStyle="1" w:styleId="Titre10">
    <w:name w:val="Titre1"/>
    <w:basedOn w:val="Normal"/>
    <w:rsid w:val="00075E7C"/>
    <w:pPr>
      <w:tabs>
        <w:tab w:val="clear" w:pos="-720"/>
      </w:tabs>
      <w:spacing w:before="100" w:beforeAutospacing="1" w:after="100" w:afterAutospacing="1" w:line="240" w:lineRule="auto"/>
      <w:jc w:val="left"/>
    </w:pPr>
    <w:rPr>
      <w:sz w:val="24"/>
      <w:szCs w:val="24"/>
      <w:lang w:val="en-IE" w:eastAsia="en-IE"/>
    </w:rPr>
  </w:style>
  <w:style w:type="paragraph" w:customStyle="1" w:styleId="desc">
    <w:name w:val="desc"/>
    <w:basedOn w:val="Normal"/>
    <w:rsid w:val="00075E7C"/>
    <w:pPr>
      <w:tabs>
        <w:tab w:val="clear" w:pos="-720"/>
      </w:tabs>
      <w:spacing w:before="100" w:beforeAutospacing="1" w:after="100" w:afterAutospacing="1" w:line="240" w:lineRule="auto"/>
      <w:jc w:val="left"/>
    </w:pPr>
    <w:rPr>
      <w:sz w:val="24"/>
      <w:szCs w:val="24"/>
      <w:lang w:val="en-IE" w:eastAsia="en-IE"/>
    </w:rPr>
  </w:style>
  <w:style w:type="character" w:customStyle="1" w:styleId="jrnl">
    <w:name w:val="jrnl"/>
    <w:basedOn w:val="Policepardfaut"/>
    <w:rsid w:val="00075E7C"/>
  </w:style>
  <w:style w:type="character" w:customStyle="1" w:styleId="cit">
    <w:name w:val="cit"/>
    <w:basedOn w:val="Policepardfaut"/>
    <w:rsid w:val="00433A2C"/>
  </w:style>
  <w:style w:type="character" w:customStyle="1" w:styleId="citation-doi">
    <w:name w:val="citation-doi"/>
    <w:basedOn w:val="Policepardfaut"/>
    <w:rsid w:val="00433A2C"/>
  </w:style>
  <w:style w:type="character" w:customStyle="1" w:styleId="secondary-date">
    <w:name w:val="secondary-date"/>
    <w:basedOn w:val="Policepardfaut"/>
    <w:rsid w:val="00433A2C"/>
  </w:style>
  <w:style w:type="character" w:customStyle="1" w:styleId="Mentionnonrsolue1">
    <w:name w:val="Mention non résolue1"/>
    <w:basedOn w:val="Policepardfaut"/>
    <w:uiPriority w:val="99"/>
    <w:semiHidden/>
    <w:unhideWhenUsed/>
    <w:rsid w:val="006950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771694">
      <w:bodyDiv w:val="1"/>
      <w:marLeft w:val="0"/>
      <w:marRight w:val="0"/>
      <w:marTop w:val="0"/>
      <w:marBottom w:val="0"/>
      <w:divBdr>
        <w:top w:val="none" w:sz="0" w:space="0" w:color="auto"/>
        <w:left w:val="none" w:sz="0" w:space="0" w:color="auto"/>
        <w:bottom w:val="none" w:sz="0" w:space="0" w:color="auto"/>
        <w:right w:val="none" w:sz="0" w:space="0" w:color="auto"/>
      </w:divBdr>
    </w:div>
    <w:div w:id="515194441">
      <w:bodyDiv w:val="1"/>
      <w:marLeft w:val="0"/>
      <w:marRight w:val="0"/>
      <w:marTop w:val="0"/>
      <w:marBottom w:val="0"/>
      <w:divBdr>
        <w:top w:val="none" w:sz="0" w:space="0" w:color="auto"/>
        <w:left w:val="none" w:sz="0" w:space="0" w:color="auto"/>
        <w:bottom w:val="none" w:sz="0" w:space="0" w:color="auto"/>
        <w:right w:val="none" w:sz="0" w:space="0" w:color="auto"/>
      </w:divBdr>
    </w:div>
    <w:div w:id="535238812">
      <w:bodyDiv w:val="1"/>
      <w:marLeft w:val="0"/>
      <w:marRight w:val="0"/>
      <w:marTop w:val="0"/>
      <w:marBottom w:val="0"/>
      <w:divBdr>
        <w:top w:val="none" w:sz="0" w:space="0" w:color="auto"/>
        <w:left w:val="none" w:sz="0" w:space="0" w:color="auto"/>
        <w:bottom w:val="none" w:sz="0" w:space="0" w:color="auto"/>
        <w:right w:val="none" w:sz="0" w:space="0" w:color="auto"/>
      </w:divBdr>
      <w:divsChild>
        <w:div w:id="1241797011">
          <w:marLeft w:val="0"/>
          <w:marRight w:val="0"/>
          <w:marTop w:val="34"/>
          <w:marBottom w:val="34"/>
          <w:divBdr>
            <w:top w:val="none" w:sz="0" w:space="0" w:color="auto"/>
            <w:left w:val="none" w:sz="0" w:space="0" w:color="auto"/>
            <w:bottom w:val="none" w:sz="0" w:space="0" w:color="auto"/>
            <w:right w:val="none" w:sz="0" w:space="0" w:color="auto"/>
          </w:divBdr>
        </w:div>
      </w:divsChild>
    </w:div>
    <w:div w:id="563611406">
      <w:bodyDiv w:val="1"/>
      <w:marLeft w:val="0"/>
      <w:marRight w:val="0"/>
      <w:marTop w:val="0"/>
      <w:marBottom w:val="0"/>
      <w:divBdr>
        <w:top w:val="none" w:sz="0" w:space="0" w:color="auto"/>
        <w:left w:val="none" w:sz="0" w:space="0" w:color="auto"/>
        <w:bottom w:val="none" w:sz="0" w:space="0" w:color="auto"/>
        <w:right w:val="none" w:sz="0" w:space="0" w:color="auto"/>
      </w:divBdr>
    </w:div>
    <w:div w:id="1169565556">
      <w:bodyDiv w:val="1"/>
      <w:marLeft w:val="0"/>
      <w:marRight w:val="0"/>
      <w:marTop w:val="0"/>
      <w:marBottom w:val="0"/>
      <w:divBdr>
        <w:top w:val="none" w:sz="0" w:space="0" w:color="auto"/>
        <w:left w:val="none" w:sz="0" w:space="0" w:color="auto"/>
        <w:bottom w:val="none" w:sz="0" w:space="0" w:color="auto"/>
        <w:right w:val="none" w:sz="0" w:space="0" w:color="auto"/>
      </w:divBdr>
    </w:div>
    <w:div w:id="1299534785">
      <w:bodyDiv w:val="1"/>
      <w:marLeft w:val="0"/>
      <w:marRight w:val="0"/>
      <w:marTop w:val="0"/>
      <w:marBottom w:val="0"/>
      <w:divBdr>
        <w:top w:val="none" w:sz="0" w:space="0" w:color="auto"/>
        <w:left w:val="none" w:sz="0" w:space="0" w:color="auto"/>
        <w:bottom w:val="none" w:sz="0" w:space="0" w:color="auto"/>
        <w:right w:val="none" w:sz="0" w:space="0" w:color="auto"/>
      </w:divBdr>
      <w:divsChild>
        <w:div w:id="1050956184">
          <w:marLeft w:val="0"/>
          <w:marRight w:val="0"/>
          <w:marTop w:val="0"/>
          <w:marBottom w:val="0"/>
          <w:divBdr>
            <w:top w:val="none" w:sz="0" w:space="0" w:color="auto"/>
            <w:left w:val="none" w:sz="0" w:space="0" w:color="auto"/>
            <w:bottom w:val="none" w:sz="0" w:space="0" w:color="auto"/>
            <w:right w:val="none" w:sz="0" w:space="0" w:color="auto"/>
          </w:divBdr>
        </w:div>
      </w:divsChild>
    </w:div>
    <w:div w:id="1742212463">
      <w:bodyDiv w:val="1"/>
      <w:marLeft w:val="0"/>
      <w:marRight w:val="0"/>
      <w:marTop w:val="0"/>
      <w:marBottom w:val="0"/>
      <w:divBdr>
        <w:top w:val="none" w:sz="0" w:space="0" w:color="auto"/>
        <w:left w:val="none" w:sz="0" w:space="0" w:color="auto"/>
        <w:bottom w:val="none" w:sz="0" w:space="0" w:color="auto"/>
        <w:right w:val="none" w:sz="0" w:space="0" w:color="auto"/>
      </w:divBdr>
      <w:divsChild>
        <w:div w:id="1846937883">
          <w:marLeft w:val="0"/>
          <w:marRight w:val="0"/>
          <w:marTop w:val="120"/>
          <w:marBottom w:val="360"/>
          <w:divBdr>
            <w:top w:val="none" w:sz="0" w:space="0" w:color="auto"/>
            <w:left w:val="none" w:sz="0" w:space="0" w:color="auto"/>
            <w:bottom w:val="none" w:sz="0" w:space="0" w:color="auto"/>
            <w:right w:val="none" w:sz="0" w:space="0" w:color="auto"/>
          </w:divBdr>
          <w:divsChild>
            <w:div w:id="579871957">
              <w:marLeft w:val="0"/>
              <w:marRight w:val="0"/>
              <w:marTop w:val="0"/>
              <w:marBottom w:val="0"/>
              <w:divBdr>
                <w:top w:val="none" w:sz="0" w:space="0" w:color="auto"/>
                <w:left w:val="none" w:sz="0" w:space="0" w:color="auto"/>
                <w:bottom w:val="none" w:sz="0" w:space="0" w:color="auto"/>
                <w:right w:val="none" w:sz="0" w:space="0" w:color="auto"/>
              </w:divBdr>
            </w:div>
            <w:div w:id="49410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866980">
      <w:bodyDiv w:val="1"/>
      <w:marLeft w:val="0"/>
      <w:marRight w:val="0"/>
      <w:marTop w:val="0"/>
      <w:marBottom w:val="0"/>
      <w:divBdr>
        <w:top w:val="none" w:sz="0" w:space="0" w:color="auto"/>
        <w:left w:val="none" w:sz="0" w:space="0" w:color="auto"/>
        <w:bottom w:val="none" w:sz="0" w:space="0" w:color="auto"/>
        <w:right w:val="none" w:sz="0" w:space="0" w:color="auto"/>
      </w:divBdr>
      <w:divsChild>
        <w:div w:id="124735837">
          <w:marLeft w:val="0"/>
          <w:marRight w:val="0"/>
          <w:marTop w:val="0"/>
          <w:marBottom w:val="0"/>
          <w:divBdr>
            <w:top w:val="none" w:sz="0" w:space="0" w:color="auto"/>
            <w:left w:val="none" w:sz="0" w:space="0" w:color="auto"/>
            <w:bottom w:val="none" w:sz="0" w:space="0" w:color="auto"/>
            <w:right w:val="none" w:sz="0" w:space="0" w:color="auto"/>
          </w:divBdr>
          <w:divsChild>
            <w:div w:id="1932621068">
              <w:marLeft w:val="0"/>
              <w:marRight w:val="0"/>
              <w:marTop w:val="630"/>
              <w:marBottom w:val="0"/>
              <w:divBdr>
                <w:top w:val="none" w:sz="0" w:space="0" w:color="auto"/>
                <w:left w:val="none" w:sz="0" w:space="0" w:color="auto"/>
                <w:bottom w:val="none" w:sz="0" w:space="0" w:color="auto"/>
                <w:right w:val="none" w:sz="0" w:space="0" w:color="auto"/>
              </w:divBdr>
              <w:divsChild>
                <w:div w:id="1095128853">
                  <w:marLeft w:val="0"/>
                  <w:marRight w:val="0"/>
                  <w:marTop w:val="0"/>
                  <w:marBottom w:val="0"/>
                  <w:divBdr>
                    <w:top w:val="none" w:sz="0" w:space="0" w:color="auto"/>
                    <w:left w:val="none" w:sz="0" w:space="0" w:color="auto"/>
                    <w:bottom w:val="none" w:sz="0" w:space="0" w:color="auto"/>
                    <w:right w:val="none" w:sz="0" w:space="0" w:color="auto"/>
                  </w:divBdr>
                  <w:divsChild>
                    <w:div w:id="994261294">
                      <w:marLeft w:val="0"/>
                      <w:marRight w:val="150"/>
                      <w:marTop w:val="0"/>
                      <w:marBottom w:val="90"/>
                      <w:divBdr>
                        <w:top w:val="none" w:sz="0" w:space="0" w:color="auto"/>
                        <w:left w:val="none" w:sz="0" w:space="0" w:color="auto"/>
                        <w:bottom w:val="none" w:sz="0" w:space="0" w:color="auto"/>
                        <w:right w:val="none" w:sz="0" w:space="0" w:color="auto"/>
                      </w:divBdr>
                      <w:divsChild>
                        <w:div w:id="100030648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ie.int"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mailto:aprovizionare@pasteur.ro" TargetMode="External"/><Relationship Id="rId1" Type="http://schemas.openxmlformats.org/officeDocument/2006/relationships/hyperlink" Target="https://www.oie.int/en/what-we-offer/expertise-network/reference-laborator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855A4-C16E-4A5C-B5AA-F42183AE99E0}">
  <ds:schemaRefs>
    <ds:schemaRef ds:uri="http://schemas.openxmlformats.org/officeDocument/2006/bibliography"/>
  </ds:schemaRefs>
</ds:datastoreItem>
</file>

<file path=customXml/itemProps2.xml><?xml version="1.0" encoding="utf-8"?>
<ds:datastoreItem xmlns:ds="http://schemas.openxmlformats.org/officeDocument/2006/customXml" ds:itemID="{52C41074-92AC-4D1E-8572-AC9C552C3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Template>
  <TotalTime>0</TotalTime>
  <Pages>17</Pages>
  <Words>8693</Words>
  <Characters>48940</Characters>
  <Application>Microsoft Office Word</Application>
  <DocSecurity>0</DocSecurity>
  <Lines>407</Lines>
  <Paragraphs>115</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glanders</vt:lpstr>
      <vt:lpstr>glanders</vt:lpstr>
      <vt:lpstr>glanders</vt:lpstr>
    </vt:vector>
  </TitlesOfParts>
  <Company>Microsoft</Company>
  <LinksUpToDate>false</LinksUpToDate>
  <CharactersWithSpaces>57518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glanders</dc:title>
  <dc:subject>arial/trait</dc:subject>
  <dc:creator>sara</dc:creator>
  <cp:lastModifiedBy>Sara Linnane</cp:lastModifiedBy>
  <cp:revision>4</cp:revision>
  <cp:lastPrinted>2018-06-05T14:29:00Z</cp:lastPrinted>
  <dcterms:created xsi:type="dcterms:W3CDTF">2021-09-09T15:22:00Z</dcterms:created>
  <dcterms:modified xsi:type="dcterms:W3CDTF">2021-09-15T07:59:00Z</dcterms:modified>
</cp:coreProperties>
</file>